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>СОДЕРЖАНИЕ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Введение</w:t>
      </w: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1</w:t>
      </w:r>
      <w:r w:rsidR="006822EA"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.</w:t>
      </w: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 xml:space="preserve"> Сущность категории человеческий капитал</w:t>
      </w: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2</w:t>
      </w:r>
      <w:r w:rsidR="006822EA"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 xml:space="preserve">. </w:t>
      </w: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Структура человеческого капитала,</w:t>
      </w:r>
      <w:r w:rsidR="006822EA"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факторы его развития и показатели оценки</w:t>
      </w: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3</w:t>
      </w:r>
      <w:r w:rsidR="006822EA"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 xml:space="preserve">. </w:t>
      </w: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Состояние человеческого капитала в Республике Беларусь и его влияние на уровень социально–экономического развития</w:t>
      </w: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Заключение</w:t>
      </w:r>
    </w:p>
    <w:p w:rsidR="009718F9" w:rsidRPr="006822EA" w:rsidRDefault="009718F9" w:rsidP="006822EA">
      <w:pPr>
        <w:pStyle w:val="13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DB20B8"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  <w:t>Список использованных источников</w:t>
      </w:r>
    </w:p>
    <w:p w:rsidR="009718F9" w:rsidRPr="006822EA" w:rsidRDefault="009718F9" w:rsidP="006822EA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822EA" w:rsidRDefault="006822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18F9" w:rsidRPr="006822EA" w:rsidRDefault="009718F9" w:rsidP="006822EA">
      <w:pPr>
        <w:pStyle w:val="1"/>
        <w:widowControl w:val="0"/>
        <w:spacing w:line="360" w:lineRule="auto"/>
        <w:jc w:val="both"/>
        <w:rPr>
          <w:b/>
        </w:rPr>
      </w:pPr>
      <w:r w:rsidRPr="006822EA">
        <w:rPr>
          <w:b/>
        </w:rPr>
        <w:t>ВВЕДЕНИЕ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современных условиях развития белорусской экономики важно осознать ключевую роль человеческого капитала в преодолении кризисной ситуации.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Причиной данной роли является то,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возможности эксплуатации всех ресурсов не бесконечны.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Единственный ресурс,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возможности разумного использования которого практически безграничны,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производительные способности людей,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реализующиеся в современных условиях в форме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значительная часть которого «изношена»,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отсутствуют источники и резервы его замены и накопления.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этой ситуации человеческий капитал расценивается как наиболее ценный производительный ресурс по сравнению с капиталом материальным.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последние годы стало всеобщим мнением,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эффективность развития экономически современных государств в огромной степени зависит от того,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сколько средств оно вкладывает в своих людей.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Без этого невозможно обеспечить его поступательное развитие.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США,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 некоторым оценкам,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доля инвестиций в человеческий капитал составляет более 15% ВВП,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превышает «чистые» валовые инвестиции частного капитала в заводы,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оборудования и складские помещения.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даже если специальные исследования по этому вопросу не проводились,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можно с высокой долей уверенности предположить,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одним из самых важных показателей уровня вложений в человеческий капитал в мире положительно связан с самыми высокими в мире показателями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уровня развития экономики [21].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Практика побуждает переоценивать и корректировать многие прежние подходы к формированию человеческого потенциала,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своевременно реагировать на новые проблемы,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возникающие в ходе социально–экономических преобразований.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Решение практических вопросов невозможно без разработки научно – обоснованной концепции развития и сохранения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рамках этой концепции важно,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прежде всего,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исследовать базу,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глубинную основу его воспроизводства и сохранения.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наиболее развитых странах Запада сформировалась постиндустриальная экономика,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основанная на знаниях,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широком применении интеллектуалоемких технологий,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расширении масштабов профессиональной мобильности,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актуализирующая роль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Переход к такой модели развития,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предотвращение необратимого отставания от передовых экономик возможно только при усиленном внимании к этой проблеме,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активной и результативной политике накопления и развития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Отдача от вложений в человека сегодня обеспечивает от половины до трех четвертей добавленной стоимости в западных экономиках.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Сказанное позволяет заключить, что проблемы изучения человеческого капитала как фактора управления и потенциала развития современной экономики являются высоко актуальными в нынешнем состоянии белорусского общества.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Целью написания данной курсовой работы является изучение человеческого капитала и его роли в развитии современной белорусской экономики.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Для реализации данной цели были поставлены следующие задачи: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дать определение сущности категории человеческий капитал;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проанализировать структуру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факторы его развития и показатели оценки;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оценить состояние человеческого капитала в Республике Беларусь и его влияние на уровень социально–экономического развития.</w:t>
      </w:r>
    </w:p>
    <w:p w:rsidR="009718F9" w:rsidRPr="006822EA" w:rsidRDefault="009718F9" w:rsidP="006822EA">
      <w:pPr>
        <w:pStyle w:val="1"/>
        <w:widowControl w:val="0"/>
        <w:spacing w:line="360" w:lineRule="auto"/>
        <w:jc w:val="both"/>
      </w:pPr>
      <w:r w:rsidRPr="006822EA">
        <w:t>Теоретической и методической основой послужили постановления Правительства Республики Беларусь, данные Министерства анализа и статистики Республики Беларусь, труды белорусских и зарубежных ученых по проблемам состояния и использования человеческого капитала в Беларуси мире. Наиболее широко данные вопросы раскрыты в трудах Волгина Н.А., Воловской А.М., Дятлова С.А., Капелюшникова Р.И.</w:t>
      </w:r>
    </w:p>
    <w:p w:rsidR="006822EA" w:rsidRDefault="006822EA" w:rsidP="006822EA">
      <w:pPr>
        <w:pStyle w:val="1"/>
        <w:widowControl w:val="0"/>
        <w:spacing w:line="360" w:lineRule="auto"/>
        <w:jc w:val="both"/>
        <w:rPr>
          <w:b/>
        </w:rPr>
      </w:pPr>
    </w:p>
    <w:p w:rsidR="009718F9" w:rsidRPr="006822EA" w:rsidRDefault="009718F9" w:rsidP="006822EA">
      <w:pPr>
        <w:pStyle w:val="1"/>
        <w:widowControl w:val="0"/>
        <w:spacing w:line="360" w:lineRule="auto"/>
        <w:jc w:val="both"/>
      </w:pPr>
      <w:r w:rsidRPr="006822EA">
        <w:rPr>
          <w:b/>
        </w:rPr>
        <w:br w:type="page"/>
        <w:t>1</w:t>
      </w:r>
      <w:r w:rsidR="006822EA">
        <w:rPr>
          <w:b/>
        </w:rPr>
        <w:t xml:space="preserve">. </w:t>
      </w:r>
      <w:r w:rsidRPr="006822EA">
        <w:rPr>
          <w:b/>
        </w:rPr>
        <w:t>СУЩНОСТЬ КАТЕГОРИИ ЧЕЛОВЕЧЕСКИЙ КАПИТАЛ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822EA">
        <w:rPr>
          <w:rFonts w:ascii="Times New Roman" w:hAnsi="Times New Roman"/>
          <w:snapToGrid w:val="0"/>
          <w:sz w:val="28"/>
          <w:szCs w:val="28"/>
        </w:rPr>
        <w:t>Некоторые люди рождаются с определенными способностями или,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по крайней мер</w:t>
      </w:r>
      <w:bookmarkStart w:id="0" w:name="OCRUncertain041"/>
      <w:r w:rsidRPr="006822EA">
        <w:rPr>
          <w:rFonts w:ascii="Times New Roman" w:hAnsi="Times New Roman"/>
          <w:snapToGrid w:val="0"/>
          <w:sz w:val="28"/>
          <w:szCs w:val="28"/>
        </w:rPr>
        <w:t>е</w:t>
      </w:r>
      <w:bookmarkEnd w:id="0"/>
      <w:r w:rsidRPr="006822EA">
        <w:rPr>
          <w:rFonts w:ascii="Times New Roman" w:hAnsi="Times New Roman"/>
          <w:snapToGrid w:val="0"/>
          <w:sz w:val="28"/>
          <w:szCs w:val="28"/>
        </w:rPr>
        <w:t>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с необычными возможностями для их развития.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Огромные зарплаты профессиональных спортсменов,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первоклассных оперных певцов и других суперзвезд являются прямым следствием проявления этих возможностей.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Но те способности,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с которыми люди рождаются – лишь полдела.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 xml:space="preserve">Обучение и образование </w:t>
      </w:r>
      <w:r w:rsidR="006822EA" w:rsidRPr="006822EA">
        <w:rPr>
          <w:rFonts w:ascii="Times New Roman" w:hAnsi="Times New Roman"/>
          <w:snapToGrid w:val="0"/>
          <w:sz w:val="28"/>
          <w:szCs w:val="28"/>
        </w:rPr>
        <w:t>важны,</w:t>
      </w:r>
      <w:r w:rsidRPr="006822EA">
        <w:rPr>
          <w:rFonts w:ascii="Times New Roman" w:hAnsi="Times New Roman"/>
          <w:snapToGrid w:val="0"/>
          <w:sz w:val="28"/>
          <w:szCs w:val="28"/>
        </w:rPr>
        <w:t xml:space="preserve"> по крайней </w:t>
      </w:r>
      <w:r w:rsidR="006822EA" w:rsidRPr="006822EA">
        <w:rPr>
          <w:rFonts w:ascii="Times New Roman" w:hAnsi="Times New Roman"/>
          <w:snapToGrid w:val="0"/>
          <w:sz w:val="28"/>
          <w:szCs w:val="28"/>
        </w:rPr>
        <w:t>мере,</w:t>
      </w:r>
      <w:r w:rsidRPr="006822EA">
        <w:rPr>
          <w:rFonts w:ascii="Times New Roman" w:hAnsi="Times New Roman"/>
          <w:snapToGrid w:val="0"/>
          <w:sz w:val="28"/>
          <w:szCs w:val="28"/>
        </w:rPr>
        <w:t xml:space="preserve"> не меньше,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чем врожденная способность для выполнения многих специальностей: от юристов и бухгалтеров до стеклодувов и парикмахеров.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822EA">
        <w:rPr>
          <w:rFonts w:ascii="Times New Roman" w:hAnsi="Times New Roman"/>
          <w:snapToGrid w:val="0"/>
          <w:sz w:val="28"/>
          <w:szCs w:val="28"/>
        </w:rPr>
        <w:t>Пойти на курсы,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чтобы стать бухгалтером,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с этой точки зрения практически то же самое,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 купить грузовик,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чтобы заняться перевозкой гравия.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 xml:space="preserve">В обоих случаях </w:t>
      </w:r>
      <w:bookmarkStart w:id="1" w:name="OCRUncertain042"/>
      <w:r w:rsidRPr="006822EA">
        <w:rPr>
          <w:rFonts w:ascii="Times New Roman" w:hAnsi="Times New Roman"/>
          <w:snapToGrid w:val="0"/>
          <w:sz w:val="28"/>
          <w:szCs w:val="28"/>
        </w:rPr>
        <w:t>ч</w:t>
      </w:r>
      <w:bookmarkEnd w:id="1"/>
      <w:r w:rsidRPr="006822EA">
        <w:rPr>
          <w:rFonts w:ascii="Times New Roman" w:hAnsi="Times New Roman"/>
          <w:snapToGrid w:val="0"/>
          <w:sz w:val="28"/>
          <w:szCs w:val="28"/>
        </w:rPr>
        <w:t>ело</w:t>
      </w:r>
      <w:bookmarkStart w:id="2" w:name="OCRUncertain043"/>
      <w:r w:rsidRPr="006822EA">
        <w:rPr>
          <w:rFonts w:ascii="Times New Roman" w:hAnsi="Times New Roman"/>
          <w:snapToGrid w:val="0"/>
          <w:sz w:val="28"/>
          <w:szCs w:val="28"/>
        </w:rPr>
        <w:t>в</w:t>
      </w:r>
      <w:bookmarkEnd w:id="2"/>
      <w:r w:rsidRPr="006822EA">
        <w:rPr>
          <w:rFonts w:ascii="Times New Roman" w:hAnsi="Times New Roman"/>
          <w:snapToGrid w:val="0"/>
          <w:sz w:val="28"/>
          <w:szCs w:val="28"/>
        </w:rPr>
        <w:t>е</w:t>
      </w:r>
      <w:bookmarkStart w:id="3" w:name="OCRUncertain044"/>
      <w:r w:rsidRPr="006822EA">
        <w:rPr>
          <w:rFonts w:ascii="Times New Roman" w:hAnsi="Times New Roman"/>
          <w:snapToGrid w:val="0"/>
          <w:sz w:val="28"/>
          <w:szCs w:val="28"/>
        </w:rPr>
        <w:t>к</w:t>
      </w:r>
      <w:bookmarkEnd w:id="3"/>
      <w:r w:rsidRPr="006822EA">
        <w:rPr>
          <w:rFonts w:ascii="Times New Roman" w:hAnsi="Times New Roman"/>
          <w:snapToGrid w:val="0"/>
          <w:sz w:val="28"/>
          <w:szCs w:val="28"/>
        </w:rPr>
        <w:t xml:space="preserve"> в данный момент совершает затраты,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чтобы в будущем получить то,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 даст ему возможн</w:t>
      </w:r>
      <w:bookmarkStart w:id="4" w:name="OCRUncertain045"/>
      <w:r w:rsidRPr="006822EA">
        <w:rPr>
          <w:rFonts w:ascii="Times New Roman" w:hAnsi="Times New Roman"/>
          <w:snapToGrid w:val="0"/>
          <w:sz w:val="28"/>
          <w:szCs w:val="28"/>
        </w:rPr>
        <w:t>о</w:t>
      </w:r>
      <w:bookmarkEnd w:id="4"/>
      <w:r w:rsidRPr="006822EA">
        <w:rPr>
          <w:rFonts w:ascii="Times New Roman" w:hAnsi="Times New Roman"/>
          <w:snapToGrid w:val="0"/>
          <w:sz w:val="28"/>
          <w:szCs w:val="28"/>
        </w:rPr>
        <w:t>сть зарабатывать больше.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Основное различие в данном случае состоит в том,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что водитель грузовика приобретает капитал в виде машины,</w:t>
      </w:r>
      <w:r w:rsidR="006822EA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822EA">
        <w:rPr>
          <w:rFonts w:ascii="Times New Roman" w:hAnsi="Times New Roman"/>
          <w:snapToGrid w:val="0"/>
          <w:sz w:val="28"/>
          <w:szCs w:val="28"/>
        </w:rPr>
        <w:t>а бухгалтер получает человеческий капитал</w:t>
      </w:r>
      <w:r w:rsidRPr="006822EA">
        <w:rPr>
          <w:rFonts w:ascii="Times New Roman" w:hAnsi="Times New Roman"/>
          <w:noProof/>
          <w:snapToGrid w:val="0"/>
          <w:sz w:val="28"/>
          <w:szCs w:val="28"/>
        </w:rPr>
        <w:t xml:space="preserve"> —</w:t>
      </w:r>
      <w:r w:rsidRPr="006822EA">
        <w:rPr>
          <w:rFonts w:ascii="Times New Roman" w:hAnsi="Times New Roman"/>
          <w:snapToGrid w:val="0"/>
          <w:sz w:val="28"/>
          <w:szCs w:val="28"/>
        </w:rPr>
        <w:t xml:space="preserve"> капитал в виде умственных способностей [11, с. 255–256]</w:t>
      </w:r>
      <w:r w:rsidR="006822EA">
        <w:rPr>
          <w:rFonts w:ascii="Times New Roman" w:hAnsi="Times New Roman"/>
          <w:snapToGrid w:val="0"/>
          <w:sz w:val="28"/>
          <w:szCs w:val="28"/>
        </w:rPr>
        <w:t>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— совокупность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навыков,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использующихся для удовлетворения многообразных потребностей человека и общества в целом.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Впервые термин использовал Теодор Шульц,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его последователь — Гэри Беккер развил эту идею,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обосновав эффективность вложений в человеческий капитал и сформулировав экономический подход к человеческому поведению [7,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124].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Первоначально под человеческим капиталом понималась лишь совокупность инвестиций в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повышающая его способность к труду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образование и профессиональные навыки.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дальнейшем понятие человеческого капитала существенно расширилось.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Последние расчеты,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сделанные экспертами Всемирного банка,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включают в него потребительские расходы – затраты семей на 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одежду,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жилища,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здравоохранение,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культуру,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расходы государства на эти цели.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в широком смысле — это интенсивный производительный фактор экономического развития,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развития общества и семьи,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включающий образованную часть трудовых ресурсов,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инструментарий интеллектуального и управленческого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среду обитания и трудовой деятельности,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обеспечивающие эффективное и рациональное функционирование человеческого капитала как производительного фактора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Если кратко,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то человеческий капитал — это интеллект,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качественный и производительный труд и качество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главный фактор формирования и развития инновационной экономики и экономики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как следующего высшего этапа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Одним из условий развития и повышения качества человеческого капитала является высокий индекс экономической свободы.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Понятие человеческого капитала (Human Capital) появилось в публикациях второй половины XX века в работах американских ученых–экономистов Теодора Шульца и Гэри Беккера (</w:t>
      </w:r>
      <w:smartTag w:uri="urn:schemas-microsoft-com:office:smarttags" w:element="metricconverter">
        <w:smartTagPr>
          <w:attr w:name="ProductID" w:val="1992 г"/>
        </w:smartTagPr>
        <w:r w:rsidRPr="006822EA">
          <w:rPr>
            <w:rFonts w:ascii="Times New Roman" w:hAnsi="Times New Roman"/>
            <w:sz w:val="28"/>
            <w:szCs w:val="28"/>
          </w:rPr>
          <w:t>1992 г</w:t>
        </w:r>
      </w:smartTag>
      <w:r w:rsidRPr="006822EA">
        <w:rPr>
          <w:rFonts w:ascii="Times New Roman" w:hAnsi="Times New Roman"/>
          <w:sz w:val="28"/>
          <w:szCs w:val="28"/>
        </w:rPr>
        <w:t xml:space="preserve">.) [16,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62].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За создание основ теории человеческого капитала им были присуждены Нобелевские премии по экономике — Теодору Шульцу в </w:t>
      </w:r>
      <w:smartTag w:uri="urn:schemas-microsoft-com:office:smarttags" w:element="metricconverter">
        <w:smartTagPr>
          <w:attr w:name="ProductID" w:val="1979 г"/>
        </w:smartTagPr>
        <w:r w:rsidRPr="006822EA">
          <w:rPr>
            <w:rFonts w:ascii="Times New Roman" w:hAnsi="Times New Roman"/>
            <w:sz w:val="28"/>
            <w:szCs w:val="28"/>
          </w:rPr>
          <w:t>1979 г</w:t>
        </w:r>
      </w:smartTag>
      <w:r w:rsidRPr="006822EA">
        <w:rPr>
          <w:rFonts w:ascii="Times New Roman" w:hAnsi="Times New Roman"/>
          <w:sz w:val="28"/>
          <w:szCs w:val="28"/>
        </w:rPr>
        <w:t>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Гэри Беккеру в </w:t>
      </w:r>
      <w:smartTag w:uri="urn:schemas-microsoft-com:office:smarttags" w:element="metricconverter">
        <w:smartTagPr>
          <w:attr w:name="ProductID" w:val="1992 г"/>
        </w:smartTagPr>
        <w:r w:rsidRPr="006822EA">
          <w:rPr>
            <w:rFonts w:ascii="Times New Roman" w:hAnsi="Times New Roman"/>
            <w:sz w:val="28"/>
            <w:szCs w:val="28"/>
          </w:rPr>
          <w:t>1992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Вложил существенный вклад в создание теории человеческого капитала и выходец из России Саймон (Семен) Кузнец,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получивший Нобелевскую премию по экономике в </w:t>
      </w:r>
      <w:smartTag w:uri="urn:schemas-microsoft-com:office:smarttags" w:element="metricconverter">
        <w:smartTagPr>
          <w:attr w:name="ProductID" w:val="1971 г"/>
        </w:smartTagPr>
        <w:r w:rsidRPr="006822EA">
          <w:rPr>
            <w:rFonts w:ascii="Times New Roman" w:hAnsi="Times New Roman"/>
            <w:sz w:val="28"/>
            <w:szCs w:val="28"/>
          </w:rPr>
          <w:t>1971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Основоположники теории человеческого капитала дали его узкое определение,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которое со временем расширялось и продолжает расширяться,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все новые составляющие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результате человеческий капитал превратился в сложный интенсивный фактор развития современной экономики — экономики знаний.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настоящее время на базе теории и практики человеческого капитала формируется и совершенствуется успешная парадигма развития США и ведущих европейских стран.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 основе теории человеческого капитала когда–то отставшая Швеция модернизировала свою экономику и вернула в 2000–х годах лидерские позиции в мировой экономике.</w:t>
      </w:r>
    </w:p>
    <w:p w:rsid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Финляндия за исторически короткий период времени сумела перейти от сырьевой в основном экономики к инновационной.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создала свои собственные конкурентоспособные высокие технологии,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 отказываясь от глубочайшей переработки своего главного природного богатства — леса.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Сумела выйти на первое место в мире в рейтинге по конкурентоспособности экономики в целом.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Более того,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именно на доходы от переработки леса в товары с высокой добавленной стоимостью и создавали финны свои инновационные технологии и продукты.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Все это имело место не потому,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теория и практика человеческого капитала реализовала в себе некую волшебную палочку,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потому что стала ответом экономической теории и практики на вызовы времени,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вызовы зарождающейся во второй половине XX века инновационной экономики (экономики знаний) и венчурного научно–технического бизнеса.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является сложным и распределенным интенсивным фактором развития.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словно кровеносные сосуды в живом организме,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пронизывает всю экономику и общество.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обеспечивает их функционирование и развитие.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Или,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напротив,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угнетает – при низком его качестве.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Поэтому существуют объективные методологические трудности с оценкой его отдельной экономической эффективности,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его отдельной производительности,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его отдельного вклада в рост ВВП и в повышение качества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через специалистов и информационные технологии вносит вклад в развитие и рост экономики всюду,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 всех видах экономической и производственной деятельности.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вносит свой вклад в повышение качества и производительности труда во всех видах жизнедеятельности и жизнеобеспечения.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 всех видах экономической деятельности,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управления образованные профессионалы определяют производительность и эффективность труда.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качественный труд,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квалификация специалистов играют решающую роль в эффективности функционирования и работы институтов и организации всех форм и видов.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Для воспроизводства человеческого капитала необходимы значительные затраты и различные виды ресурсов как со стороны индивида,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 и со стороны общества (государственных учреждений,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частных фирм,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семьи и т. д.).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Подчеркивая схожесть таких затрат с вложениями других видов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экономисты относятся к ним как к инвестициям в человеческий капитал.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Источниками таких инвестиций являются затраты работодателей,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бюджетные расходы государства,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индивидуальные расходы граждан.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Инвестирование в человеческий капитал предполагает преследование для инвестора каких–то выгод как для себя непосредственно,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 и для третьих лиц.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работника – это повышение уровня доходов,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удовлетворение от работы,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улучшение условий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рост самоуважения,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улучшение качества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работодателя – это повышение производительности,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сокращение потерь рабочего времени и рост эффективности производства,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в конечном итоге способствует повышению конкурентоспособности фирмы.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государства – это повышение благосостояния граждан,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рост валового дохода,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повышение экономической активности граждан [8,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c.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44].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Осуществление инвестиций – очень важный процесс в воспроизводстве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котором он выступает либо объектом,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субъектом,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результатом воздействия.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Таким образом,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лишь создают основу для производства человеческого капитала в системе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здравоохранения,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повышения квалификации,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экономической мотивации,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географической мобильности и т. д.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Их содержание – не просто вложение средств,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еще и реальная,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осознанная и целенаправленная деятельность инвестора.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этом важную роль в создании человеческого капитала играют затраты труда и усилий по саморазвитию и самосовершенствованию.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Произведенные затраты неизбежно включаются в общественные затраты во всем воспроизводственном процессе.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Современный подход к вложениям в социальную сферу исходит из того,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инвестиции в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наиболее эффективны.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 сути,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первичная производственная мощность,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первичная производственная способность человека и первичный природный ресурс,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когда–то использованный им,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есть тот самый главный источник накопления нового производственного потенциала,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производительной силы,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новых потребительских благ.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 сегодня все больше инвестиций осуществляется не в технику,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в первую очередь – в реальный качественный рост производительной силы человека.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Большинство передовых стран мира ищут подходы к инвестиционной политике,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которой оценка результативности,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все факторы экономического роста,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обусловленные инвестициями,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будут достигаться посредством прироста производительной силы человека и ее влияния на изменение структуры и объема национального богатства страны [20,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с. 62].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Несмотря на отличие физического и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их формирование имеет определенное сходство.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физический,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человеческий капитал требуют значительных отвлечений средств в ущерб текущему потреблению.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тот,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другой накапливаются в результате привлечения экономических ресурсов,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могли бы быть использованы для производства других благ в целях текущего потребления.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 обоих зависит уровень развития экономики в будущем.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течение времени и тот и другой производят определенный продукт.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наконец,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они ограничены сроком использования – машины изнашиваются,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люди умирают.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формирование эффективной элиты,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том числе в организацию конкуренции,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являются одними из важнейший инвестиций в человеческий капитал.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Еще со времен классиков науки Д. Тойнби и 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Вебера известно,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именно элита народа определяет вектор направления его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Предпринимательский ресурс – творческий ресурс,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интеллектуальный ресурс развития экономики.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Поэтому инвестиции в предпринимательский ресурс — это инвестиции в развитие человеческого капитала в части повышения его конструктивности,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креативности и инновационности.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бизнес–ангелы — необходимая составляющая человеческого капитала [3,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98].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институциональное обслуживание направлены на создание комфортных условий обслуживания государственными институтами граждан,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врачей,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преподавателей,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ученых,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инженеров,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то есть ядро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способствует повышению качества их жизни и труда.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развитие гражданского общества и в экономическую свободу способствуют повышению креативности и законопослушности граждан,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формированию оптимистической и конструктивной,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одновременно,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рациональной идеологии,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формированию государственных институтов,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стимулирующих рост качества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Способствуют формированию здорового образа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итоге,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ведут к росту эффективности труда и экономики.</w:t>
      </w:r>
    </w:p>
    <w:p w:rsid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Эти инвестиции формируют коллективный гражданский разум,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коллективный интеллект,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направленный на созидание.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состав человеческого капитала необходимо включать также инвестиции в создание среды,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обеспечивающей его эффективное функционирование.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развивающейся стране невозможно повсеместно создать конкурентоспособные комфортные условия для специалистов высшей квалификации,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необходимых для формирования эффективной инновационной системы и сектора инновационной экономики.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Поэтому создаются Особые экономические зоны,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технополисы и технопарки (например,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Китай и Индия).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них реализуется особый режим проживания,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повышенная безопасность,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улучшенная инфраструктура,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повышенное качество жизни.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Создаются комфортные условия для общения ученых и инженеров с целью реализации синергетических эффектов усиления творческой мощи научных и инновационных коллективов.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то же время,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например,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криминализированной и коррумпированной стране человеческий капитал не может функционировать эффективно по определению.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Даже если это «ввезенный» внешний высококачественный человеческий капитал,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обеспеченный за счет его притока.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Он либо деградирует,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ввязываясь в коррупционные схемы,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как это </w:t>
      </w:r>
      <w:r w:rsidR="006822EA" w:rsidRPr="006822EA">
        <w:rPr>
          <w:rFonts w:ascii="Times New Roman" w:hAnsi="Times New Roman"/>
          <w:sz w:val="28"/>
          <w:szCs w:val="28"/>
        </w:rPr>
        <w:t>было,</w:t>
      </w:r>
      <w:r w:rsidRPr="006822EA">
        <w:rPr>
          <w:rFonts w:ascii="Times New Roman" w:hAnsi="Times New Roman"/>
          <w:sz w:val="28"/>
          <w:szCs w:val="28"/>
        </w:rPr>
        <w:t xml:space="preserve"> в том числе с иностранными и прочими советниками,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приведшими Россию к дефолту.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«работает» неэффективно.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Известно,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любые существенные изменения в трудовых ресурсах,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открывая новые возможности,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таят в себе и потенциальные угрозы.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ближайшие десять лет нельзя исключать развития целого ряда негативных тенденций.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Основной проблемой является расширение зоны деградации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понятие означает многослойный социальный феномен,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складывающийся из целого ряда взаимосвязанных процессов,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одним из важнейших в которых является депопуляция 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прежде всего,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сокращение численности населения в трудоспособном возрасте.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Структура вложений в человеческий капитал включает в себя следующие виды инвестиций [10,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c.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60]: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подготовка на производстве;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здравоохранение;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мотивация;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поиск информации и миграция;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фундаментальные научные разработки;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экология и здоровый образ жизни;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культура и досуг.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Образование и подготовка на производстве повышают уровень знаний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значит,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увеличивают объем и качество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образование по содержательному признаку обычно разделяют на формальные и неформальные.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Формальные инвестиции – это получение среднего,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специального и высшего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получение второго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профессиональная подготовка на производстве,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различные курсы,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обучение в магистратуре,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аспирантуре,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докторантуре и пр.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Неформальные инвестиции– это самообразование индивида: чтение развивающей литературы,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совершенствование в различных видах искусства.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При повышении уровня образования эффективность труда работника повышается либо посредством увеличения производительности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посредством получения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делают работника способным осуществлять такую трудовую деятельность,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результаты которой представляют большую ценность.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Накопление интеллектуального капитала подразумевает не столько наращивание объема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сколько развитие навыков применения этих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осознание своей значимости и своего места в обществе,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умение приспосабливаться к изменяющимся условиям в свою пользу.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развитых странах особое значение имеют профессиональная подготовка на производстве и курсы переподготовки.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Профессиональная подготовка выступает как механизм,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 помощью которого человек,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приходящий на предприятие,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может лучше ознакомиться со своей работой,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больше узнать о предприятии.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Курсы переподготовки предоставляют работникам возможность приобретения знаний по новым перспективным направлениям в рамках имеющейся специальности.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Во время обучения человек часто лишается возможности получать нормальный доход,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ограничивается в свободном времени,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работник соглашается на снижение доходов на время профессионального обучения.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Эти потери заработков называются потерями утраченных возможностей и составляют значительные суммы.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Учеба рассматривается как отвлечение рабочей силы из сферы экономической деятельности [13,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c.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75].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Из всех видов инвестиций,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наряду с образованием,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наиболее важными являются вложения в здоровье человека.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Ведь охрана здоровья действительно продлевает жизнь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значит,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время функционирования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pStyle w:val="1"/>
        <w:widowControl w:val="0"/>
        <w:spacing w:line="360" w:lineRule="auto"/>
        <w:jc w:val="both"/>
        <w:rPr>
          <w:b/>
        </w:rPr>
      </w:pPr>
      <w:r w:rsidRPr="006822EA">
        <w:rPr>
          <w:b/>
        </w:rPr>
        <w:t>2</w:t>
      </w:r>
      <w:r w:rsidR="006822EA">
        <w:rPr>
          <w:b/>
        </w:rPr>
        <w:t xml:space="preserve">. </w:t>
      </w:r>
      <w:r w:rsidRPr="006822EA">
        <w:rPr>
          <w:b/>
        </w:rPr>
        <w:t>СТРУКТУРА ЧЕЛОВЕЧЕСКОГО КАПИТАЛА,</w:t>
      </w:r>
      <w:r w:rsidR="006822EA">
        <w:rPr>
          <w:b/>
        </w:rPr>
        <w:t xml:space="preserve"> </w:t>
      </w:r>
      <w:r w:rsidRPr="006822EA">
        <w:rPr>
          <w:b/>
        </w:rPr>
        <w:t>ФАКТОРЫ ЕГО РАЗВИТИЯ И ПОКАЗАТЕЛИ ОЦЕНКИ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зависимости от степени обобщенности человеческого капитала в его структуре можно обозначить следующие компоненты: индивидуальный,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коллективный и общественный.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Два первых рассматриваются на микроуровне как человеческие капиталы отдельно взятого человека и группы людей,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объединенных по определенному признаку: коллектив фирмы,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члены социально–культурной группы и т. д.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Общественный компонент – это человеческий капитал на макроуровне,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он представляет собой весь накопленный обществом человеческий капитал,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свою очередь,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является частью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стратегическим ресурсом и фактором экономического роста.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Наиболее обобщенным подходом к определению составляющих человеческого капитала является: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биологический человеческий капитал – ценностный уровень физических способностей к выполнению трудовых операций,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уровень здоровья населения;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культурный человеческий капитал – совокупность интеллектуальных способностей,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навыков,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моральных качеств,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квалификационной подготовки индивидов,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используются или могут быть использованы в трудовой деятельности и узаконивают обладание статусом и властью [13,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c.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41].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 xml:space="preserve">Биологический </w:t>
      </w:r>
      <w:r w:rsidRPr="006822EA">
        <w:rPr>
          <w:rFonts w:ascii="Times New Roman" w:hAnsi="Times New Roman"/>
          <w:sz w:val="28"/>
          <w:szCs w:val="28"/>
        </w:rPr>
        <w:t>человеческий капитал состоит из двух частей: одна часть является наследственной,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другая – благоприобретенной.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течение всей жизни индивидуума происходит износ этого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все более и более ускоряющийся с возрастом (смерть необходимо понимать как полное обесценение фонда здоровья).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Реализация вложений,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связанных с охраной здоровья,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способна лишь к строго ограниченному развитию биологического капитала работника.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Ее главное предназначение – увеличивать период активной жизнедеятельности индивида.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>Культурный</w:t>
      </w:r>
      <w:r w:rsidRPr="006822EA">
        <w:rPr>
          <w:rFonts w:ascii="Times New Roman" w:hAnsi="Times New Roman"/>
          <w:sz w:val="28"/>
          <w:szCs w:val="28"/>
        </w:rPr>
        <w:t xml:space="preserve"> капитал – это языковая и культурная компетенция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богатство в форме знания или идей,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легитимируют статусы и власть,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поддерживают установленный социальный порядок,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существующую в обществе иерархию.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Культурный капитал индивида характеризуется следующими показателями: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интеллектуальная культура (интеллектуальный капитал),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образовательная культура (образовательный капитал),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морально–нравственная культура (морально–нравственный капитал),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символическая культура (символический капитал),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социальная культура (социальный капитал).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Развитие науки,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формирование информационного общества на передний план в качестве составляющих сложного интенсивного фактора развития — человеческого капитала — выдвинули 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качество жизни населения и самих ведущих специалистов,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определяющих креативность и инновационность национальных экономик.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условиях глобализации мировой экономики,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свободного перелива любого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человеческий капитал,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 страны в страну,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 региона в регион,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 города в город в условиях острой международной конкуренции,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ускоренного развития высоких технологий.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 огромные преимущества в создании стабильных условий для роста качества жизни,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создания и развития экономики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информационного 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развития гражданского общества имеют страны с накопленным качественным человеческим капиталом.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То есть страны с образованным,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здоровым и оптимистичным населением,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конкурентоспособными профессионалами мирового уровня во всех видах экономической деятельности,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образовании,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науке,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управлении и других сферах.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Понимание и выбор человеческого капитала в качестве главного фактора развития буквально диктует системный и комплексный подход при разработке концепции или стратегии развития и увязки с ними всех других частных стратегий и программ.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Диктат этот следует из сущности национального человеческого капитала как многокомпонентного фактора развития.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Причем этот диктат особо выделяет условия жизни,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работы и качество инструментария специалистов,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определяющих креативность и созидательную энергию страны.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Ядром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конечно,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был и остается человек,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но теперь — человек образованный,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созидательный и инициативный,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обладающий высоким уровнем профессионализма.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Сам же человеческий капитал определяет в современной экономике основную долю национального богатства стран,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регионов,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муниципальных образований и организаций.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то же время доля неквалифицированного труда в ВВП развитых и развивающихся стран,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Россию,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становится все меньше,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в технологически передовых странах она уже исчезающе мала.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Поэтому при определении человеческого капитала разделение труда на неквалифицированный труд и труд,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требующий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особых навыков 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постепенно теряет свой изначальный смысл и экономическое содержание,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который основоположники теории человеческого капитала отождествляли с образованными людьми и их накопленными знаниями и опытом.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Основными драйверами развития человеческого капитала являются конкуренция,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инновации [20,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204].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Инновационный сектор экономики,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креативная часть элиты,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государства являются источниками накопления высококачественного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который и определяет направление и темпы развития организаций,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страны,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региона,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мировой экономики.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 другой стороны,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накопленный качественный человеческий капитал лежит в основе инновационной системы и экономики.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Процессы развития человеческого капитала и инновационных экономик составляют единый процесс формирования и развития инновационно–информационного общества и его экономики.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Для эффективного функционирования человеческого капитала необходимо конкурентоспособное качество жизни,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безопасность,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экологию и жилищные условия,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причем на уровне развитых стран мира.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Иначе лучшие специалисты уезжают туда,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где им удобнее жить и комфортнее и безопаснее работать.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Фундаментом,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котором созданы инновационные экономики и информационные 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служат торжество закона,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высокое качество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высокое качество жизни и эффективная индустриальная экономика,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которая плавно трансформировалась в постиндустриальную или инновационную экономику.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Стоимость национального человеческого капитала стран мира на базе затратного метода оценили специалисты Всемирного банка.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Использовались оценки составляющих человеческого капитала по затратам государства,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семей,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предпринимателей и разных фондов.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Они позволяют определить текущие ежегодные затраты общества на воспроизводство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В США стоимость человеческого капитала в конце 2008 года составляла $ 95 </w:t>
      </w:r>
      <w:r w:rsidR="006822EA" w:rsidRPr="006822EA">
        <w:rPr>
          <w:rFonts w:ascii="Times New Roman" w:hAnsi="Times New Roman"/>
          <w:sz w:val="28"/>
          <w:szCs w:val="28"/>
        </w:rPr>
        <w:t>трлн.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или 77%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26% мирового итога стоимости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Стоимость мирового человеческого капитала составила $ 365 </w:t>
      </w:r>
      <w:r w:rsidR="006822EA" w:rsidRPr="006822EA">
        <w:rPr>
          <w:rFonts w:ascii="Times New Roman" w:hAnsi="Times New Roman"/>
          <w:sz w:val="28"/>
          <w:szCs w:val="28"/>
        </w:rPr>
        <w:t>трлн.</w:t>
      </w:r>
      <w:r w:rsidRPr="006822EA">
        <w:rPr>
          <w:rFonts w:ascii="Times New Roman" w:hAnsi="Times New Roman"/>
          <w:sz w:val="28"/>
          <w:szCs w:val="28"/>
        </w:rPr>
        <w:t xml:space="preserve"> или 66% мирового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384% к уровню США.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Для Китая эти показатели составляют: $ 25 </w:t>
      </w:r>
      <w:r w:rsidR="006822EA" w:rsidRPr="006822EA">
        <w:rPr>
          <w:rFonts w:ascii="Times New Roman" w:hAnsi="Times New Roman"/>
          <w:sz w:val="28"/>
          <w:szCs w:val="28"/>
        </w:rPr>
        <w:t>трлн.</w:t>
      </w:r>
      <w:r w:rsidRPr="006822EA">
        <w:rPr>
          <w:rFonts w:ascii="Times New Roman" w:hAnsi="Times New Roman"/>
          <w:sz w:val="28"/>
          <w:szCs w:val="28"/>
        </w:rPr>
        <w:t>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77% от всего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7% мирового итога человеческого капитала и 26% к уровню США.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Для Бразилии соответственно: $ 9 </w:t>
      </w:r>
      <w:r w:rsidR="006822EA" w:rsidRPr="006822EA">
        <w:rPr>
          <w:rFonts w:ascii="Times New Roman" w:hAnsi="Times New Roman"/>
          <w:sz w:val="28"/>
          <w:szCs w:val="28"/>
        </w:rPr>
        <w:t>трлн.</w:t>
      </w:r>
      <w:r w:rsidRPr="006822EA">
        <w:rPr>
          <w:rFonts w:ascii="Times New Roman" w:hAnsi="Times New Roman"/>
          <w:sz w:val="28"/>
          <w:szCs w:val="28"/>
        </w:rPr>
        <w:t>; 74% от всего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2% мирового итога человеческого капитала и 9% к уровню США.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Для Индии: $ 7 </w:t>
      </w:r>
      <w:r w:rsidR="006822EA" w:rsidRPr="006822EA">
        <w:rPr>
          <w:rFonts w:ascii="Times New Roman" w:hAnsi="Times New Roman"/>
          <w:sz w:val="28"/>
          <w:szCs w:val="28"/>
        </w:rPr>
        <w:t>трлн.</w:t>
      </w:r>
      <w:r w:rsidRPr="006822EA">
        <w:rPr>
          <w:rFonts w:ascii="Times New Roman" w:hAnsi="Times New Roman"/>
          <w:sz w:val="28"/>
          <w:szCs w:val="28"/>
        </w:rPr>
        <w:t>; 58% от всего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2% мирового итога человеческого капитала; 7% к уровню США.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 долю стран «семерки» и ЕЭС на расчетный период приходилось 59% мирового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составляет 78% от их национального богатства.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в большинстве стран превышал половину накопленного национального богатства (исключение – страны ОПЕК).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 процентную долю человеческого капитала существенно влияет стоимость природных ресурсов.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Основная часть мирового человеческого капитала сосредоточена в развитых странах мира.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связано с тем,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инвестиции в человеческий капитал в последние полвека в этих странах значительно опережают инвестиции в физический капитал.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Существуют определенные трудности при сравнительной оценке стоимости человеческого капитала стран с неодинаковым уровнем развития.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слаборазвитой страны и развитой страны имеет существенно различную производительность на единицу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весьма различное качество (например,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существенно различное качество образования и медицинского обслуживания).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Когда–то воспитание,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 и фундаментальная наука считались затратным бременем для экономики.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Затем понимание их важности как факторов развития экономики и общества изменилось.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ментальность как составляющие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сам человеческий капитал в целом,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стали главным фактором роста и развития современной экономики,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развития общества и повышения качества жизни.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Ядром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конечно,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был и остается человек.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Сам же человеческий капитал определяет ныне основную долю национального богатства стран,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регионов,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муниципальных образований и организаций.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Причем долю,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считаемую в рублях или долларах.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сущности,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накопленный человеческий капитал — это инвестиции и отдача от них в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качество его жизни,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условия и инструменты его интеллектуального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среду обитания и работы.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 развитием и усложнением понятия и экономической категории «человеческий капитал» усложнялась и его структура.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формируется,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прежде всего,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 счет инвестиций в повышение уровня и качества жизни населения.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том числе — в воспитание,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знания (науку),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предпринимательскую способность и климат,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информационное обеспечение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формирование эффективной элиты,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безопасность граждан и бизнеса и экономическую свободу,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в культуру,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искусство и другие составляющие.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Формируется человеческий капитал и за счет притока из других стран.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Или убывает за счет его оттока.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— не просто количество людей,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работников простого труда.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профессионализм,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информационное обслуживание,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 и оптимизм,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законопослушность граждан,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креативность и эффективность элиты и 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составляющие человеческого капитала и составляют его структуру: воспитание,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личная безопасность,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предпринимательская способность,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подготовку элиты,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инструментарий интеллектуального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информационное обслуживание и 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как производительный фактор по степени эффективности можно разделить на отрицательный (разрушительный) и положительный (созидательный).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 этими крайними состояниями и составляющими совокупного человеческого капитала существуют промежуточные по эффективности состояния и составляющие.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Отрицательный человеческий капитал — это часть накопленного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 дающая какой–либо полезной отдачи от инвестиций в него для 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экономики и препятствующая росту качества жизни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развитию общества и личности.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 каждая инвестиция в воспитание и образование полезна и увеличивает человеческий капитал.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Неисправимый преступник,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наемный киллер — это потерянные для общества и семьи инвестиции в них.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Значительный вклад в накопленный отрицательный человеческий капитал вносят также коррупционеры,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наркоманы,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чрезмерные любители спиртного.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просто лодыри,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бездельники и вороватые люди.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напротив,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положительную часть человеческого капитала вносят существенную долю трудоголики,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специалисты мирового уровня.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Отрицательный накопленный человеческий капитал формируется на базе негативных сторон менталитета нации,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низкой культуре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ее рыночные составляющие (в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этику труда и предпринимательства).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Вносят в него свой вклад негативные традиции государственного устройства и функционирования государственных институтов на базе несвободы и неразвитости гражданского 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базе инвестиций в псевдовоспитание,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псевдообразование и псевдознания,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псевдонауку и псевдокультуру.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Особо значительный вклад в отрицательный накопленный человеческий капитал способна вносить активная часть нации — ее элита,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поскольку именно она определяет политику и стратегию развития страны,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ведет за собой нацию по пути либо прогресса,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стагнации (застоя) или даже регресса.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Отрицательный человеческий капитал требует дополнительных инвестиций в общественный человеческий капитал для изменения сущности знаний и опыта.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изменения образовательного процесса,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инновационного и инвестиционного потенциалов,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изменения в лучшую сторону менталитета населения и повышения его культуры.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этом случае требуются дополнительные инвестиции для компенсации накопленного в прошлом отрицательного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Неэффективные инвестиции в человеческий капитал — вложения средств в неэффективные проекты или семейные затраты по повышению качества составляющих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связанные с коррупцией,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непрофессионализмом,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ложной или неоптимальной идеологией развития,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неблагополучием в семье и 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д. [10,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119].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Фактически это инвестиции в отрицательную составляющую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Неэффективные инвестиции,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инвестиции в неспособных к обучению и восприятию современных знаний индивидов,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дают нулевой или незначительный результат;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–инвестиции в неэффективный и коррумпированный образовательный процесс;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–инвестиции в систему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сформированы вокруг ложного ядра;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–инвестиции в ложные или низкоэффективные инновации,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научно–исследовательские и опытно–конструкторские работы,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проекты.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Накопленный отрицательный человеческий капитал в полной мере начинает проявлять себя в периоды бифуркаций — в условиях сильно неравновесных состояний.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этом случае имеет место переход в другую систему координат (в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другое экономическое и политическое пространство),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человеческий капитал может изменить свой знак и величину.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переходе страны в другую экономическую и политическую систему,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резком переходе на другой,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значительно более высокий технологический уровень (для предприятий и отраслей).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означает,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накопленный человеческий капитал,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прежде всего в виде накопленного менталитета,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опыта 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имеющегося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 пригоден для решения новых задач более сложного уровня,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задач в рамках другой парадигмы развития.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при переходе в другую систему координат,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 кардинально другим требованиям к уровню и качеству человеческого капитала накопленный старый человеческий капитал становится отрицательным,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становится тормозом в развитии.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нужны новые дополнительные инвестиции в человеческий капитал для его модификации и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Сущность отрицательности непроизводительной составляющей человеческого капитала определяется тем обстоятельством,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если человек является носителем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не соответствуют современным требованиям науки,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техники,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технологий,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производства,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менеджмента,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социальной сферы и пр. 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то переобучение 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зачастую,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требует гораздо больше средств,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чем обучение соответствующего работника с нуля.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Или приглашение работника со стороны.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Другими словами,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если качество труда определяется псевдознаниями,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то кардинальное изменение этого качества обходится дороже,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чем формирование качественно нового труда на современной образовательной основе и на базе других работников.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Доля отрицательной составляющей в накопленном человеческом капитале 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соответственно,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эффективность инвестиций в человеческий капитал в различных странах мира очень сильно различается.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Положительный человеческий капитал определяются как накопленный человеческий капитал,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обеспечивающий полезную отдачу от инвестиций в него в процессы развития и роста.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 инвестиций в повышение и поддержание качества жизни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рост инновационного потенциала и институционального потенциала.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развитие системы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рост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развитие науки,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улучшение здоровья населения.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повышение качества и доступности информации.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является инерционным производительным фактором.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него дают отдачу только через некоторое время.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Величина и качество человеческого капитала зависят,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прежде всего,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 менталитета,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знаний и здоровья населения.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исторически короткие сроки можно получить существенную отдачу от инвестиций в 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но не в менталитет,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который формируется веками.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то же время менталитет населения может существенно снижать коэффициенты трансформации инвестиций в человеческий капитал и даже делать полностью неэффективными эти инвестиции.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То обстоятельство,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человеческий капитал невозможно изменить в короткие сроки,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особенно при значительном объеме отрицательного накопленного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сущности,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является главной проблемой развития экономики с точки зрения теории развития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Важнейшей составляющей человеческого капитала является труд,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его качество и производительность.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Качество труда в свою очередь определяется ментальностью населения и качеством жизни.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Существуют различные методические подходы к расчетам стоимости ЧК.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работе приведен обзор работ по национальному богатству и методам оценки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>Дж.</w:t>
      </w:r>
      <w:r w:rsidR="006822EA">
        <w:rPr>
          <w:rFonts w:ascii="Times New Roman" w:hAnsi="Times New Roman"/>
          <w:b/>
          <w:sz w:val="28"/>
          <w:szCs w:val="28"/>
        </w:rPr>
        <w:t xml:space="preserve"> </w:t>
      </w:r>
      <w:r w:rsidRPr="006822EA">
        <w:rPr>
          <w:rFonts w:ascii="Times New Roman" w:hAnsi="Times New Roman"/>
          <w:b/>
          <w:sz w:val="28"/>
          <w:szCs w:val="28"/>
        </w:rPr>
        <w:t>Кендрик</w:t>
      </w:r>
      <w:r w:rsidRPr="006822EA">
        <w:rPr>
          <w:rFonts w:ascii="Times New Roman" w:hAnsi="Times New Roman"/>
          <w:sz w:val="28"/>
          <w:szCs w:val="28"/>
        </w:rPr>
        <w:t xml:space="preserve"> предложил затратный метод расчета стоимости человеческого капитала — на основе статистических данных рассчитывать накопление инвестиций в человека.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Эта методика оказалась удобной для США,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где имеются обширные и достоверные статистические данные.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Дж.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Кендрик включил в инвестиции в человеческий капитал затраты семьи и общества на воспитание детей до достижения ими трудоспособного возраста и получения определенной специальности,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переподготовку,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повышение квалификации,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здравоохранение,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миграцию рабочей силы и пр.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накопления он также включил вложения в жилищное хозяйство,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бытовые товары длительного пользования,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запасы товаров в семьях,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затраты на научные исследования и разработки.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Метод Кедрика позволил оценить накопления человеческого капитала по его полной «восстановительной стоимости».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Но не давал возможности расчета «чистой стоимости» человеческого капитала (за минусом его «износа»).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Этот метод не содержал методики выделения из общей суммы затрат части затрат,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используемой на воспроизводство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реальное его накопление.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В работе </w:t>
      </w:r>
      <w:r w:rsidRPr="006822EA">
        <w:rPr>
          <w:rFonts w:ascii="Times New Roman" w:hAnsi="Times New Roman"/>
          <w:b/>
          <w:sz w:val="28"/>
          <w:szCs w:val="28"/>
        </w:rPr>
        <w:t>Дж.</w:t>
      </w:r>
      <w:r w:rsidR="006822EA">
        <w:rPr>
          <w:rFonts w:ascii="Times New Roman" w:hAnsi="Times New Roman"/>
          <w:b/>
          <w:sz w:val="28"/>
          <w:szCs w:val="28"/>
        </w:rPr>
        <w:t xml:space="preserve"> </w:t>
      </w:r>
      <w:r w:rsidRPr="006822EA">
        <w:rPr>
          <w:rFonts w:ascii="Times New Roman" w:hAnsi="Times New Roman"/>
          <w:b/>
          <w:sz w:val="28"/>
          <w:szCs w:val="28"/>
        </w:rPr>
        <w:t>Минсера</w:t>
      </w:r>
      <w:r w:rsidRPr="006822EA">
        <w:rPr>
          <w:rFonts w:ascii="Times New Roman" w:hAnsi="Times New Roman"/>
          <w:sz w:val="28"/>
          <w:szCs w:val="28"/>
        </w:rPr>
        <w:t xml:space="preserve"> выполнена оценка вклада образования и длительности трудовой деятельности в человеческий капитал.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базе статистики США 1980–х годов Минсер получил зависимости эффективности человеческого капитала от числа лет общего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профессиональной подготовки и возраста работника.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>К.Б.</w:t>
      </w:r>
      <w:r w:rsidR="006822EA">
        <w:rPr>
          <w:rFonts w:ascii="Times New Roman" w:hAnsi="Times New Roman"/>
          <w:b/>
          <w:sz w:val="28"/>
          <w:szCs w:val="28"/>
        </w:rPr>
        <w:t xml:space="preserve"> </w:t>
      </w:r>
      <w:r w:rsidRPr="006822EA">
        <w:rPr>
          <w:rFonts w:ascii="Times New Roman" w:hAnsi="Times New Roman"/>
          <w:b/>
          <w:sz w:val="28"/>
          <w:szCs w:val="28"/>
        </w:rPr>
        <w:t>Маллиган</w:t>
      </w:r>
      <w:r w:rsidRPr="006822EA">
        <w:rPr>
          <w:rFonts w:ascii="Times New Roman" w:hAnsi="Times New Roman"/>
          <w:sz w:val="28"/>
          <w:szCs w:val="28"/>
        </w:rPr>
        <w:t xml:space="preserve"> и </w:t>
      </w:r>
      <w:r w:rsidRPr="006822EA">
        <w:rPr>
          <w:rFonts w:ascii="Times New Roman" w:hAnsi="Times New Roman"/>
          <w:b/>
          <w:sz w:val="28"/>
          <w:szCs w:val="28"/>
        </w:rPr>
        <w:t>Х.С.</w:t>
      </w:r>
      <w:r w:rsidR="006822EA">
        <w:rPr>
          <w:rFonts w:ascii="Times New Roman" w:hAnsi="Times New Roman"/>
          <w:b/>
          <w:sz w:val="28"/>
          <w:szCs w:val="28"/>
        </w:rPr>
        <w:t xml:space="preserve"> </w:t>
      </w:r>
      <w:r w:rsidRPr="006822EA">
        <w:rPr>
          <w:rFonts w:ascii="Times New Roman" w:hAnsi="Times New Roman"/>
          <w:b/>
          <w:sz w:val="28"/>
          <w:szCs w:val="28"/>
        </w:rPr>
        <w:t>Мартин</w:t>
      </w:r>
      <w:r w:rsidRPr="006822EA">
        <w:rPr>
          <w:rFonts w:ascii="Times New Roman" w:hAnsi="Times New Roman"/>
          <w:sz w:val="28"/>
          <w:szCs w:val="28"/>
        </w:rPr>
        <w:t xml:space="preserve"> предложили методику оценки запаса совокупного человеческого капитала с помощью системы индексов.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Вклад НИОКР (научно–исследовательских и опытно–конструкторских работ) в человеческий капитал исследовал Национальный научный фонд США совместно с экспертами Организации экономического сотрудничества и развития.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Фонд разработал систему показателей научно–технического прогресса,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том числе затрат на НИОКР (разработанное фондом «Руководство Фраскат» стало международным стандартом для сравнительного анализа результатов научных исследований).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руководстве изложена методология оценки текущих расходов на НИОКР и их накопления как нематериального капитала и фактора экономического роста.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Методология ФРАСКАТ основана на детальной информации в США о затратах на науку,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начиная с </w:t>
      </w:r>
      <w:smartTag w:uri="urn:schemas-microsoft-com:office:smarttags" w:element="metricconverter">
        <w:smartTagPr>
          <w:attr w:name="ProductID" w:val="1920 г"/>
        </w:smartTagPr>
        <w:r w:rsidRPr="006822EA">
          <w:rPr>
            <w:rFonts w:ascii="Times New Roman" w:hAnsi="Times New Roman"/>
            <w:sz w:val="28"/>
            <w:szCs w:val="28"/>
          </w:rPr>
          <w:t>1920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методике учитывался временной лаг между периодом осуществления НИОКР и периодом их воплощения в накопленном человеческом капитале как приросте запаса знаний и опыта.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Средний срок службы этого вида капитала был принят равным 18 лет.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Результаты расчетов оказались близки к результатам других исследователей.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Алгоритм расчетов был следующим [5,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81]: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суммарные текущие расходы на науку (на фундаментальные исследования,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прикладные исследования,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опытно–конструкторские работы);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2.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накопление за период;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3.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изменения в запасах;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потребление за текущий период;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валовое накопление;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чистое накопление.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Международные экономические и финансовые институты проявляют постоянный интерес к проблеме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Значительный вклад в разработку расширительной концепции национального богатства (с учетом вклада человеческого капитала) внесли аналитики Всемирного банка,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опубликовали серию работ,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обосновавших эту концепцию.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методологии Всемирного банка обобщены результаты и методы оценки человеческого капитала других школ и авторов.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Здесь,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частности,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учитываются накопленные знания и другие составляющие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Источники человеческого капитала выбраны по группировкам затрат на соответствующие направления.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культура и искусство,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здравоохранение и информационное обеспечение.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Данные источники необходимо дополнить следующими [4,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52]: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безопасность населения и предпринимателей – обеспечивают накопление всех других составляющих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обеспечивают реализацию творческого и профессионального потенциала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обеспечивают поддержание и рост качества жизни;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подготовку элиты общества;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 инвестиции в предпринимательскую способность и предпринимательский климат — государственные и частные инвестиции в малый бизнес и венчурный бизнес.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создание условий для поддержания и развития предпринимательской способности обеспечивают его реализацию как экономического производительного ресурса страны;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воспитание детей;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 инвестиции в изменение менталитета населения в положительную сторону — это инвестиции в культуру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которая определяет эффективность человеческого капитала;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 инвестиции в институциональное обслуживание население — институты страны должны способствовать раскрытию и реализации творческих и профессиональных способностей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повышать качество жизни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особенно в части снижения бюрократического давления на него;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 инвестиции в 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связанные с приглашением специалистов,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творческих людей и других талантливых и высокопрофессиональных людей из других стран,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существенно увеличивают человеческий капитал;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• инвестиции в развитие экономической свободы,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свободу миграции труда.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в большинстве стран превышает половину накопленного национального богатства (исключение — страны ОПЕК).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 отражает высокий уровень развития данных стран.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Следует отметить,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изложенная выше методика оценки человеческого капитала по затратам,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достаточно корректная для развитых стран с эффективными государственными системами и эффективными экономиками дает значительную погрешность для развивающихся стран и стран с переходными экономиками.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Существуют определенные трудности при сравнительной оценке стоимости человеческого капитала разных стран.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слаборазвитой страны и развитой страны имеет весьма разную производительность на единицу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весьма разный уровень и качество.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Аналитики Всемирного банка предложили и иной,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дисконтный метод оценки стоимости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заданной норме доходности совокупного национального богатства вычисляется его стоимость.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Затем из полученной величины вычитается стоимость земли,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полезных ископаемых,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лесных и морских ресурсов,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производственный капитал и другие активы.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результате остается стоимость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Рассчитанная по этой методике стоимость человеческого капитала составляет даже в бедных странах около половины национального богатства,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в развитых странах — около ¾.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Причем на национальном уровне возникают сильные синергетические эффекты.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технологическом венчурном бизнесе,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чем выше концентрация высококвалифицированных специалистов,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тем выше отдача каждого из них.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Еще более значительны синергетические эффекты в области научных исследований.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свою очередь,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высокий имидж интеллектуального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его огромное значение для экономики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порождает мощные синергетические эффекты усиления совокупного интеллекта страны,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отраслей промышленности,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корпораций,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конечном итоге,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совокупного человеческого капитала страны.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Отсюда — огромные преимущества развитых стран мира и проблемы для стран с догоняющими экономиками,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пытающихся встать в их ряды.</w:t>
      </w:r>
    </w:p>
    <w:p w:rsidR="00906440" w:rsidRDefault="00906440" w:rsidP="006822EA">
      <w:pPr>
        <w:pStyle w:val="1"/>
        <w:widowControl w:val="0"/>
        <w:spacing w:line="360" w:lineRule="auto"/>
        <w:jc w:val="both"/>
        <w:rPr>
          <w:b/>
        </w:rPr>
      </w:pPr>
    </w:p>
    <w:p w:rsidR="009718F9" w:rsidRPr="006822EA" w:rsidRDefault="009718F9" w:rsidP="006822EA">
      <w:pPr>
        <w:pStyle w:val="1"/>
        <w:widowControl w:val="0"/>
        <w:spacing w:line="360" w:lineRule="auto"/>
        <w:jc w:val="both"/>
        <w:rPr>
          <w:b/>
        </w:rPr>
      </w:pPr>
      <w:r w:rsidRPr="006822EA">
        <w:rPr>
          <w:b/>
        </w:rPr>
        <w:t>3</w:t>
      </w:r>
      <w:r w:rsidR="00906440">
        <w:rPr>
          <w:b/>
        </w:rPr>
        <w:t>.</w:t>
      </w:r>
      <w:r w:rsidR="006822EA">
        <w:rPr>
          <w:b/>
        </w:rPr>
        <w:t xml:space="preserve"> </w:t>
      </w:r>
      <w:r w:rsidRPr="006822EA">
        <w:rPr>
          <w:b/>
        </w:rPr>
        <w:t>СОСТОЯНИЕ ЧЕЛОВЕЧЕСКОГО КАПИТАЛА</w:t>
      </w:r>
      <w:r w:rsidR="00906440">
        <w:rPr>
          <w:b/>
        </w:rPr>
        <w:t xml:space="preserve"> </w:t>
      </w:r>
      <w:r w:rsidRPr="006822EA">
        <w:rPr>
          <w:b/>
        </w:rPr>
        <w:t>В РЕСПУБЛИКЕ БЕЛАРУСЬ И ЕГО ВЛИЯНИЕ</w:t>
      </w:r>
      <w:r w:rsidR="00906440">
        <w:rPr>
          <w:b/>
        </w:rPr>
        <w:t xml:space="preserve"> </w:t>
      </w:r>
      <w:r w:rsidRPr="006822EA">
        <w:rPr>
          <w:b/>
        </w:rPr>
        <w:t>НА УРОВЕНЬ СОЦИАЛЬНО–ЭКОНОМИЧЕСКОГО РАЗВИТИЯ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Согласно докладу ООН 2009 года «О человеческом развитии» Беларусь занимает 68–е место в общем рейтинге,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входит в группу стран с высоким уровнем человеческого развития и опережает все страны СНГ [23,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 98]: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Россия – 71,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Казахстан – 82,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Армения – 84,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Украина – 85,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Азербайджан – 86,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Молдова – 117.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Возглавляет рейтинг качества жизни Норвегия,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которая занимала первое место с 2001 по 2006 год,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затем уступила его Исландии,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сейчас вернулась на вершину списка после двухлетнего перерыва.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пятерку лидеров рейтинга — стран с очень высоким уровнем развития — также вошли: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Австралия – 2,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Исландия – 3,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Канада – 4,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Ирландия – 5.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 шестом месте Нидерланды,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на седьмом — Швеция.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Франция и Швейцария – на 8 и 9 месте соответственно,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Япония — на 10.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Соединенные Штаты не входят в десятку стран с самым высоким Индексом развития человеческого потенциала и занимают 13 место.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перечень развитых государств также входят и все страны Балтии: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Эстония – 40,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Литва – 46,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Латвия – 48.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 предпоследнем месте списка стран с высоким уровнем развития находится Казахстан (82 место).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Все другие государства СНГ включены в группу стран со средним уровнем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Таким образом,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можно сказать,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среди СНГ Беларусь в 2009 году является лидером по уровню развития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 уровню образования Беларусь находится на второй позиции в СНГ,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уступая только Казахстану.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опережает такие государства как Андорра,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Великобритания,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Германия,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Греция,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Израиль,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Кипр,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Кувейт,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Мальта,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ОАЭ,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Португалия,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Швейцария,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Япония.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это страны с очень высоким уровнем развития человеческого потенциала.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Рассмотрим возрастной состав населения Республики Беларусь в 2009 году и его динамику за 3 года (таблица 1) [22].</w:t>
      </w:r>
    </w:p>
    <w:p w:rsidR="00906440" w:rsidRDefault="00906440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B15" w:rsidRDefault="00943B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06440" w:rsidRDefault="009718F9" w:rsidP="00906440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Таблица 1</w:t>
      </w:r>
    </w:p>
    <w:p w:rsidR="009718F9" w:rsidRPr="00906440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440">
        <w:rPr>
          <w:rFonts w:ascii="Times New Roman" w:hAnsi="Times New Roman"/>
          <w:bCs/>
          <w:iCs/>
          <w:sz w:val="28"/>
          <w:szCs w:val="28"/>
        </w:rPr>
        <w:t>Возрастной состав населения Республики Беларусь</w:t>
      </w:r>
      <w:r w:rsidRPr="00906440">
        <w:rPr>
          <w:rFonts w:ascii="Times New Roman" w:hAnsi="Times New Roman"/>
          <w:sz w:val="28"/>
          <w:szCs w:val="28"/>
        </w:rPr>
        <w:t xml:space="preserve"> на начало 2009г.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19"/>
        <w:gridCol w:w="1196"/>
        <w:gridCol w:w="1196"/>
        <w:gridCol w:w="1196"/>
        <w:gridCol w:w="776"/>
        <w:gridCol w:w="830"/>
        <w:gridCol w:w="878"/>
        <w:gridCol w:w="926"/>
        <w:gridCol w:w="946"/>
      </w:tblGrid>
      <w:tr w:rsidR="009718F9" w:rsidRPr="00DB20B8" w:rsidTr="00DB20B8">
        <w:trPr>
          <w:trHeight w:val="303"/>
        </w:trPr>
        <w:tc>
          <w:tcPr>
            <w:tcW w:w="1519" w:type="dxa"/>
            <w:vMerge w:val="restart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bCs/>
                <w:sz w:val="20"/>
                <w:szCs w:val="20"/>
              </w:rPr>
              <w:t>Возрастные группы</w:t>
            </w:r>
          </w:p>
        </w:tc>
        <w:tc>
          <w:tcPr>
            <w:tcW w:w="3588" w:type="dxa"/>
            <w:gridSpan w:val="3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bCs/>
                <w:sz w:val="20"/>
                <w:szCs w:val="20"/>
              </w:rPr>
              <w:t>Абсолютное число</w:t>
            </w:r>
          </w:p>
        </w:tc>
        <w:tc>
          <w:tcPr>
            <w:tcW w:w="2484" w:type="dxa"/>
            <w:gridSpan w:val="3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bCs/>
                <w:sz w:val="20"/>
                <w:szCs w:val="20"/>
              </w:rPr>
              <w:t>% от численности населения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0B8">
              <w:rPr>
                <w:rFonts w:ascii="Times New Roman" w:hAnsi="Times New Roman"/>
                <w:bCs/>
                <w:sz w:val="20"/>
                <w:szCs w:val="20"/>
              </w:rPr>
              <w:t>Динамика в % по доле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vMerge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2009 к 2008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2009 к 2007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Все население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9714461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30"/>
                <w:rFonts w:ascii="Times New Roman" w:hAnsi="Times New Roman"/>
                <w:color w:val="auto"/>
                <w:sz w:val="20"/>
                <w:szCs w:val="20"/>
              </w:rPr>
              <w:t>9689770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9671912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100, 0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30"/>
                <w:rFonts w:ascii="Times New Roman" w:hAnsi="Times New Roman"/>
                <w:color w:val="auto"/>
                <w:sz w:val="20"/>
                <w:szCs w:val="20"/>
              </w:rPr>
              <w:t>100, 0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100, 0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9718F9" w:rsidRPr="00DB20B8" w:rsidTr="00DB20B8">
        <w:trPr>
          <w:trHeight w:val="238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 w:rsidRPr="00DB20B8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18F9" w:rsidRPr="00DB20B8" w:rsidTr="00DB20B8">
        <w:trPr>
          <w:trHeight w:val="576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в возрасте</w:t>
            </w:r>
            <w:r w:rsidR="006822EA" w:rsidRPr="00DB2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20B8">
              <w:rPr>
                <w:rFonts w:ascii="Times New Roman" w:hAnsi="Times New Roman"/>
                <w:sz w:val="20"/>
                <w:szCs w:val="20"/>
              </w:rPr>
              <w:t>0–4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450025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30"/>
                <w:rFonts w:ascii="Times New Roman" w:hAnsi="Times New Roman"/>
                <w:color w:val="auto"/>
                <w:sz w:val="20"/>
                <w:szCs w:val="20"/>
              </w:rPr>
              <w:t>465291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8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484897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4,6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30"/>
                <w:rFonts w:ascii="Times New Roman" w:hAnsi="Times New Roman"/>
                <w:color w:val="auto"/>
                <w:sz w:val="20"/>
                <w:szCs w:val="20"/>
              </w:rPr>
              <w:t>4,8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9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5–9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454462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454121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450282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4,7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–0,1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10–14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539310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502145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479876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5,6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–0,2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–0,6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15–19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749816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712411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664714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7,7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–0,8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20–24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836891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840099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830807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8,6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25–29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739082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755736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781718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7,6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30–34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686967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687416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696093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7,1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7,1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35–39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670489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673209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671448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6,9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40–44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737333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707841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684955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7,6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–0,2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–0,5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45–49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822229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819228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803211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8,5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–0,2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50–54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54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691629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713240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746934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40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7,1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55–59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Style w:val="A40"/>
                <w:rFonts w:ascii="Times New Roman" w:hAnsi="Times New Roman"/>
                <w:color w:val="auto"/>
                <w:sz w:val="20"/>
                <w:szCs w:val="20"/>
              </w:rPr>
              <w:t>58442</w:t>
            </w:r>
            <w:r w:rsidRPr="00DB20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601899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609865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60–64 года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331795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354724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399884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65–69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466649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428682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374207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–0,9</w:t>
            </w:r>
          </w:p>
        </w:tc>
      </w:tr>
      <w:tr w:rsidR="009718F9" w:rsidRPr="00DB20B8" w:rsidTr="00DB20B8">
        <w:trPr>
          <w:trHeight w:val="303"/>
        </w:trPr>
        <w:tc>
          <w:tcPr>
            <w:tcW w:w="1519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70 лет и старше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953360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973728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3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993021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718F9" w:rsidRPr="00DB20B8" w:rsidRDefault="009718F9" w:rsidP="00DB20B8">
            <w:pPr>
              <w:pStyle w:val="Pa37"/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9718F9" w:rsidRPr="00DB20B8" w:rsidRDefault="009718F9" w:rsidP="00DB20B8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0B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</w:tbl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Как видно из таблицы 1,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2009 году снижается доля населения в возрасте 40–49 лет,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однако растет доля населения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возрасте 25–34 года,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которое является наиболее инициативным,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положительно для развития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Далее оценим человеческий капитал Беларуси на основании вложений в него.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Образование и подготовка на производстве повышают уровень знаний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значит,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увеличивают объем и качество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образование по содержательному признаку обычно разделяют на формальные и неформальные.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Формальные инвестиции — это получение среднего,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специального и высшего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получение второго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профессиональная подготовка на производстве,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различные курсы,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обучение в магистратуре,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аспирантуре,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докторантуре и пр.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Неформальные инвестиции — это самообразование индивида: чтение развивающей литературы,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совершенствование в различных видах искусства.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 повышении уровня образования эффективность труда работника повышается либо посредством увеличения производительности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либо посредством получения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делают работника способным осуществлять такую трудовую деятельность,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результаты которой представляют большую ценность.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 уровнем грамотности взрослого населения – 99,6% Беларусь опережает многие развитые страны,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такие как: Португалия,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Испания,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Греция,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Израиль и др.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системе образования Республики Беларусь в 2008/2009 учебном году находилось: 4772 образовательных школы (1547,6 тыс.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уч.</w:t>
      </w:r>
      <w:r w:rsidR="006822EA">
        <w:rPr>
          <w:rFonts w:ascii="Times New Roman" w:hAnsi="Times New Roman"/>
          <w:sz w:val="28"/>
          <w:szCs w:val="28"/>
        </w:rPr>
        <w:t>)</w:t>
      </w:r>
      <w:r w:rsidRPr="006822EA">
        <w:rPr>
          <w:rFonts w:ascii="Times New Roman" w:hAnsi="Times New Roman"/>
          <w:sz w:val="28"/>
          <w:szCs w:val="28"/>
        </w:rPr>
        <w:t>; 156 средне–специальных учебных заведений (150,3 тыс.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уч.</w:t>
      </w:r>
      <w:r w:rsidR="006822EA">
        <w:rPr>
          <w:rFonts w:ascii="Times New Roman" w:hAnsi="Times New Roman"/>
          <w:sz w:val="28"/>
          <w:szCs w:val="28"/>
        </w:rPr>
        <w:t>)</w:t>
      </w:r>
      <w:r w:rsidRPr="006822EA">
        <w:rPr>
          <w:rFonts w:ascii="Times New Roman" w:hAnsi="Times New Roman"/>
          <w:sz w:val="28"/>
          <w:szCs w:val="28"/>
        </w:rPr>
        <w:t>; 56 высших учебных заведений (281,7 тыс.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студ.</w:t>
      </w:r>
      <w:r w:rsidR="006822EA">
        <w:rPr>
          <w:rFonts w:ascii="Times New Roman" w:hAnsi="Times New Roman"/>
          <w:sz w:val="28"/>
          <w:szCs w:val="28"/>
        </w:rPr>
        <w:t>)</w:t>
      </w:r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расчете на 10 тыс.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населения в </w:t>
      </w:r>
      <w:smartTag w:uri="urn:schemas-microsoft-com:office:smarttags" w:element="metricconverter">
        <w:smartTagPr>
          <w:attr w:name="ProductID" w:val="2009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вузах республики обучалось 324 студента,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тогда как в </w:t>
      </w:r>
      <w:smartTag w:uri="urn:schemas-microsoft-com:office:smarttags" w:element="metricconverter">
        <w:smartTagPr>
          <w:attr w:name="ProductID" w:val="1990 г"/>
        </w:smartTagPr>
        <w:r w:rsidRPr="006822EA">
          <w:rPr>
            <w:rFonts w:ascii="Times New Roman" w:hAnsi="Times New Roman"/>
            <w:sz w:val="28"/>
            <w:szCs w:val="28"/>
          </w:rPr>
          <w:t>1990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— 184,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ссузах — 163 и 140 учащихся соответственно [22].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Этот показатель соответствует среднеевропейскому и достаточно объективно отражает процесс развития системы высшего образования.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00 г"/>
        </w:smartTagPr>
        <w:r w:rsidRPr="006822EA">
          <w:rPr>
            <w:rFonts w:ascii="Times New Roman" w:hAnsi="Times New Roman"/>
            <w:sz w:val="28"/>
            <w:szCs w:val="28"/>
          </w:rPr>
          <w:t>2000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Республике Беларусь количество населения в возрасте старше 16 лет,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имеющее законченное высшее,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среднее и базовое 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возросло на 10,4% и составило 85% от общей численности населения.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 20,1% до 25,4% от численности населения в выпускном возрасте возросло и количество выпускников вузов.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Именно уровень образованности населения является одним из решающих факторов в межгосударственном ранжировании Республики Беларусь.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Накопление интеллектуального капитала подразумевает не столько наращивание объема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сколько развитие навыков применения этих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осознание своей значимости и своего места в обществе,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умение приспосабливаться к изменяющимся условиям в свою пользу.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развитых странах особое значение имеет профессиональная подготовка на производстве и курсы переподготовки.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Профессиональная подготовка выступает как механизм,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 помощью которого человек,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приходящий на предприятие,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может лучше ознакомиться со своей работой,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больше узнать о предприятии.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Курсы переподготовки предоставляют работникам возможность приобретения знаний по новым перспективным направлениям в рамках имеющейся специальности.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Во время обучения человек часто лишается возможности получать нормальный доход,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ограничивается в свободном времени,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работник соглашается на снижение доходов на время профессионального обучения.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Эти потери заработков называются потерями утраченных возможностей и составляют значительные суммы.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Учеба рассматривается как отвлечение рабочей силы из сферы экономической деятельности.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Из всех видов инвестиций,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наряду с образованием,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наиболее важными являются вложения в здоровье человека.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Ведь охрана здоровья действительно продлевает жизнь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следовательно,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 время функционирования человеческого капитала.</w:t>
      </w:r>
    </w:p>
    <w:p w:rsidR="009718F9" w:rsidRPr="006822EA" w:rsidRDefault="009718F9" w:rsidP="006822EA">
      <w:pPr>
        <w:pStyle w:val="2"/>
        <w:widowControl w:val="0"/>
        <w:spacing w:line="360" w:lineRule="auto"/>
        <w:jc w:val="both"/>
        <w:rPr>
          <w:szCs w:val="28"/>
        </w:rPr>
      </w:pPr>
      <w:r w:rsidRPr="006822EA">
        <w:rPr>
          <w:szCs w:val="28"/>
        </w:rPr>
        <w:t>На конец 2009г.</w:t>
      </w:r>
      <w:r w:rsidR="006822EA">
        <w:rPr>
          <w:szCs w:val="28"/>
        </w:rPr>
        <w:t xml:space="preserve"> </w:t>
      </w:r>
      <w:r w:rsidRPr="006822EA">
        <w:rPr>
          <w:szCs w:val="28"/>
        </w:rPr>
        <w:t>в системе Министерства здравоохранения Республики Беларусь было 42891 врача (без зубных),</w:t>
      </w:r>
      <w:r w:rsidR="006822EA">
        <w:rPr>
          <w:szCs w:val="28"/>
        </w:rPr>
        <w:t xml:space="preserve"> </w:t>
      </w:r>
      <w:r w:rsidRPr="006822EA">
        <w:rPr>
          <w:szCs w:val="28"/>
        </w:rPr>
        <w:t>на конец 2008 года – 42153 (прирост</w:t>
      </w:r>
      <w:r w:rsidR="006822EA">
        <w:rPr>
          <w:szCs w:val="28"/>
        </w:rPr>
        <w:t xml:space="preserve"> </w:t>
      </w:r>
      <w:r w:rsidRPr="006822EA">
        <w:rPr>
          <w:szCs w:val="28"/>
        </w:rPr>
        <w:t>+738</w:t>
      </w:r>
      <w:r w:rsidR="006822EA">
        <w:rPr>
          <w:szCs w:val="28"/>
        </w:rPr>
        <w:t xml:space="preserve"> </w:t>
      </w:r>
      <w:r w:rsidRPr="006822EA">
        <w:rPr>
          <w:szCs w:val="28"/>
        </w:rPr>
        <w:t>человек</w:t>
      </w:r>
      <w:r w:rsidR="006822EA">
        <w:rPr>
          <w:szCs w:val="28"/>
        </w:rPr>
        <w:t xml:space="preserve"> </w:t>
      </w:r>
      <w:r w:rsidRPr="006822EA">
        <w:rPr>
          <w:szCs w:val="28"/>
        </w:rPr>
        <w:t>или</w:t>
      </w:r>
      <w:r w:rsidR="006822EA">
        <w:rPr>
          <w:szCs w:val="28"/>
        </w:rPr>
        <w:t xml:space="preserve"> </w:t>
      </w:r>
      <w:r w:rsidRPr="006822EA">
        <w:rPr>
          <w:snapToGrid w:val="0"/>
          <w:szCs w:val="28"/>
        </w:rPr>
        <w:t xml:space="preserve">+1,8 </w:t>
      </w:r>
      <w:r w:rsidRPr="006822EA">
        <w:rPr>
          <w:szCs w:val="28"/>
        </w:rPr>
        <w:t>%).</w:t>
      </w:r>
    </w:p>
    <w:p w:rsidR="009718F9" w:rsidRPr="006822EA" w:rsidRDefault="009718F9" w:rsidP="006822EA">
      <w:pPr>
        <w:pStyle w:val="2"/>
        <w:widowControl w:val="0"/>
        <w:spacing w:line="360" w:lineRule="auto"/>
        <w:jc w:val="both"/>
        <w:rPr>
          <w:szCs w:val="28"/>
        </w:rPr>
      </w:pPr>
      <w:r w:rsidRPr="006822EA">
        <w:rPr>
          <w:szCs w:val="28"/>
        </w:rPr>
        <w:t>Прирост медицинских кадров по областям Республики Беларусь и г. Минску был следующим (таблица 2) [22].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B15" w:rsidRDefault="00943B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06440" w:rsidRDefault="009718F9" w:rsidP="00906440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Таблица 2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22EA">
        <w:rPr>
          <w:rFonts w:ascii="Times New Roman" w:hAnsi="Times New Roman"/>
          <w:b/>
          <w:sz w:val="28"/>
          <w:szCs w:val="28"/>
        </w:rPr>
        <w:t>Медицинские кадры Республики Беларусь</w:t>
      </w:r>
    </w:p>
    <w:tbl>
      <w:tblPr>
        <w:tblW w:w="94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999"/>
        <w:gridCol w:w="999"/>
        <w:gridCol w:w="897"/>
        <w:gridCol w:w="898"/>
        <w:gridCol w:w="898"/>
        <w:gridCol w:w="898"/>
        <w:gridCol w:w="905"/>
        <w:gridCol w:w="616"/>
      </w:tblGrid>
      <w:tr w:rsidR="009718F9" w:rsidRPr="006822EA" w:rsidTr="00906440">
        <w:trPr>
          <w:cantSplit/>
          <w:trHeight w:val="1350"/>
        </w:trPr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Наименование областей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0644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Число врачей (без зубных)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 xml:space="preserve">Прирост 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906440">
                <w:rPr>
                  <w:rFonts w:ascii="Times New Roman" w:hAnsi="Times New Roman"/>
                  <w:sz w:val="20"/>
                  <w:szCs w:val="20"/>
                </w:rPr>
                <w:t>200</w:t>
              </w:r>
              <w:r w:rsidRPr="00906440">
                <w:rPr>
                  <w:rFonts w:ascii="Times New Roman" w:hAnsi="Times New Roman"/>
                  <w:sz w:val="20"/>
                  <w:szCs w:val="20"/>
                  <w:lang w:val="en-US"/>
                </w:rPr>
                <w:t>9</w:t>
              </w:r>
              <w:r w:rsidRPr="00906440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  <w:r w:rsidRPr="009064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Число стоматологов</w:t>
            </w: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Прирост за</w:t>
            </w:r>
          </w:p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906440">
                <w:rPr>
                  <w:rFonts w:ascii="Times New Roman" w:hAnsi="Times New Roman"/>
                  <w:sz w:val="20"/>
                  <w:szCs w:val="20"/>
                </w:rPr>
                <w:t>200</w:t>
              </w:r>
              <w:r w:rsidRPr="00906440">
                <w:rPr>
                  <w:rFonts w:ascii="Times New Roman" w:hAnsi="Times New Roman"/>
                  <w:sz w:val="20"/>
                  <w:szCs w:val="20"/>
                  <w:lang w:val="en-US"/>
                </w:rPr>
                <w:t>9</w:t>
              </w:r>
              <w:r w:rsidRPr="00906440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  <w:r w:rsidRPr="009064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718F9" w:rsidRPr="006822EA" w:rsidTr="00906440">
        <w:trPr>
          <w:cantSplit/>
          <w:trHeight w:val="631"/>
        </w:trPr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200</w:t>
            </w:r>
            <w:r w:rsidRPr="00906440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абс.</w:t>
            </w:r>
          </w:p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200</w:t>
            </w:r>
            <w:r w:rsidRPr="00906440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абс.</w:t>
            </w:r>
          </w:p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г.</w:t>
            </w:r>
            <w:r w:rsidR="006822EA" w:rsidRPr="009064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6440">
              <w:rPr>
                <w:rFonts w:ascii="Times New Roman" w:hAnsi="Times New Roman"/>
                <w:sz w:val="20"/>
                <w:szCs w:val="20"/>
              </w:rPr>
              <w:t>Минск (без обл.</w:t>
            </w:r>
            <w:r w:rsidR="006822EA" w:rsidRPr="009064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6440">
              <w:rPr>
                <w:rFonts w:ascii="Times New Roman" w:hAnsi="Times New Roman"/>
                <w:sz w:val="20"/>
                <w:szCs w:val="20"/>
              </w:rPr>
              <w:t>организаций)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11600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11953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+353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+3, 0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1396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1419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+1, 6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Брестская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5407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5452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+45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+0, 8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442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+9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+2, 0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Витебская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5319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5320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+0, 02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0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Гомельская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5582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5720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+138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+2, 5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–4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–1, 1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Гродненская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5409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+107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+2, 0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–2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–0, 6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Минская (с обл.</w:t>
            </w:r>
            <w:r w:rsidR="006822EA" w:rsidRPr="009064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6440">
              <w:rPr>
                <w:rFonts w:ascii="Times New Roman" w:hAnsi="Times New Roman"/>
                <w:sz w:val="20"/>
                <w:szCs w:val="20"/>
              </w:rPr>
              <w:t>организациями)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4827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4895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+68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+1, 4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554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–14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–2, 5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Могилевская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4116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4142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+26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+0, 6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354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+6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+1, 6</w:t>
            </w:r>
          </w:p>
        </w:tc>
      </w:tr>
      <w:tr w:rsidR="009718F9" w:rsidRPr="006822EA" w:rsidTr="00906440">
        <w:trPr>
          <w:cantSplit/>
        </w:trPr>
        <w:tc>
          <w:tcPr>
            <w:tcW w:w="2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42153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42891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+738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+1, 8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3782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3800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z w:val="20"/>
                <w:szCs w:val="20"/>
              </w:rPr>
              <w:t>+18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F9" w:rsidRPr="00906440" w:rsidRDefault="009718F9" w:rsidP="00906440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6440">
              <w:rPr>
                <w:rFonts w:ascii="Times New Roman" w:hAnsi="Times New Roman"/>
                <w:snapToGrid w:val="0"/>
                <w:sz w:val="20"/>
                <w:szCs w:val="20"/>
              </w:rPr>
              <w:t>+0, 5</w:t>
            </w:r>
          </w:p>
        </w:tc>
      </w:tr>
    </w:tbl>
    <w:p w:rsidR="009718F9" w:rsidRPr="006822EA" w:rsidRDefault="009718F9" w:rsidP="006822EA">
      <w:pPr>
        <w:pStyle w:val="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pStyle w:val="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Как видно из таблицы 2,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в системе Министерства здравоохранения Республики Беларусь на конец </w:t>
      </w:r>
      <w:smartTag w:uri="urn:schemas-microsoft-com:office:smarttags" w:element="metricconverter">
        <w:smartTagPr>
          <w:attr w:name="ProductID" w:val="2009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было врачей (без зубных),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имеющих квалификационную категорию: высшую – 5161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4868),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первую – 14986 (2008 г–14693),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вторую – 8950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 – 9009).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Провизоров,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имеющих квалификационную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категорию: высшую – 235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237),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первую – 1014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–993),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вторую –728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 xml:space="preserve"> – 712).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Среднего медперсонала,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имеющих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квалификационную категорию: высшую – 11794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–10898),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первую 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39900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38343),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вторую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29031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28697).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Фармацевтов,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имеющих высшую квалификационную категорию–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290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292),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первую – 577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552),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вторую – 1231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1227).</w:t>
      </w:r>
    </w:p>
    <w:p w:rsidR="009718F9" w:rsidRPr="006822EA" w:rsidRDefault="009718F9" w:rsidP="006822EA">
      <w:pPr>
        <w:pStyle w:val="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Из зарегистрированных на конец 2009г.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лечебно–профилактических организациях системы Министерства здравоохранения Республики Беларусь из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55836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штатных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врачебных должностей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55548)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было занято 53437 (</w:t>
      </w:r>
      <w:smartTag w:uri="urn:schemas-microsoft-com:office:smarttags" w:element="metricconverter">
        <w:smartTagPr>
          <w:attr w:name="ProductID" w:val="2008 г"/>
        </w:smartTagPr>
        <w:r w:rsidRPr="006822EA">
          <w:rPr>
            <w:rFonts w:ascii="Times New Roman" w:hAnsi="Times New Roman"/>
            <w:sz w:val="28"/>
            <w:szCs w:val="28"/>
          </w:rPr>
          <w:t>2008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52585).</w:t>
      </w:r>
    </w:p>
    <w:p w:rsidR="00906440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Результаты исследований свидетельствуют о том,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здоровье человека лишь на 8—10% зависит от здравоохранения,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20% — от экологических условий,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20% определяются генетическими факторами и на 50% здоровье человека зависит от образа жизни самого человека.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Это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рациональный суточный режим,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применение различных методов скорейшего восстановления и стимуляции работоспособности,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гигиена рационального питания,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избавление от вредных привычек и излишнего веса,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формирование красивой фигуры,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профилактика и ликвидация стрессов,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применение различных комплексов физических упражнений,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традиционные и необычные методы закаливания,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различные виды массажа и пр.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 основным факторам деградации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оказывающим непосредственное влияние на состояние здоровья населения в Республике Беларусь,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относят: ухудшение здоровья населения,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саморазрушительное поведение (алкоголизм,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курение,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наркомания),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сокращение потребления медицинских услуг вследствие роста количества платных услуг и снижения качества бесплатного медицинского обслуживания,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ухудшение социальных условий жизни.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Основная первичная заболеваемость в республике приходится на болезни системы кровообращения,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психические расстройства и новообразования.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Большое влияние на состояние здоровья оказывают последствия аварии на ЧАЭС.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Потребление алкогольных напитков в пересчете на абсолютный алкоголь с </w:t>
      </w:r>
      <w:smartTag w:uri="urn:schemas-microsoft-com:office:smarttags" w:element="metricconverter">
        <w:smartTagPr>
          <w:attr w:name="ProductID" w:val="2000 г"/>
        </w:smartTagPr>
        <w:r w:rsidRPr="006822EA">
          <w:rPr>
            <w:rFonts w:ascii="Times New Roman" w:hAnsi="Times New Roman"/>
            <w:sz w:val="28"/>
            <w:szCs w:val="28"/>
          </w:rPr>
          <w:t>2000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2009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возросло почти в 1,5 раза — с 6,7 л на одного человека до 9,7 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Более 50% взрослого мужского населения республики — курящие.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Доля курящих взрослых женщин за этот же период увеличилась с 3,6% до 6,3% от их общего количества.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Особую тревогу вызывает прогрессирующая тенденция роста ВИЧ–инфицированных: с 8 зарегистрированных человек в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2000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до 915 человек в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Основной причиной временной нетрудоспособности работников являются плохие условия труда.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26% всех работающих на производстве трудились в условиях,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не соответствующих санитарно–гигиеническим нормам.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В то время как в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2000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данный показатель составлял лишь 15,5%.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 данным ВОЗ,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для того,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чтобы удовлетворить потребности общества в современном медицинском обслуживании и восстановлении трудовых ресурсов,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требуется средств не менее 7—8% от ВВП.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в развитых странах выделяется 8–12%.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 xml:space="preserve">Доля же расходов в Беларуси на здравоохранение от ВВП в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2009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составила 5%,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является одним из барьеров на пути выхода Республики Беларусь на европейский уровень [22].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Наряду со способностью к работе (здоровьем и квалификацией) структура человеческого капитала любого работника предполагает и наличие желания к работе.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связи с этим как компонент инвестиций в человеческий капитал необходимо рассматривать и затраты,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связанные с мотивацией работника к повышению качества своего труда.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Результаты зарубежных исследований свидетельствуют о возрастании важности внутренних стимулов (возможность самореализации, удовлетворенность делом, которым занимается работник, ощущение собственного успеха и т. д.) в сравнении с внешними, особенно для высококвалифицированного персонала.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связи с этим,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значительная часть работы с персоналом в компаниях сегодня основана на косвенном воздействии на внутренние стимулы (проектирование рабочих мест,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возможность обучения,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участие в принятии решений и социальная среда на рабочем месте). Миграция и поиск информации способствуют перемещению рабочей силы в районы и отрасли,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где труд лучше оплачивается,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где цена за услуги человеческого капитала выше.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 инвестициям в человеческий капитал сегодня актуально относить и расходы на фундаментальные научные разработки.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процессе развития науки не только создаются интеллектуальные новации,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основании которых затем формируются новые технологии производства и способы потребления,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но и происходит преобразование самих людей как хозяйствующих субъектов,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выступают носителями новых способностей и потребностей.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информационном обществе наука превращается в своеобразный генератор "человеческого капитала".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Организации Национальной академии наук Беларуси выполняют значительный объем научных исследований и разработок по заданиям президентских,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народнохозяйственных,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социальных,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научно–технических,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международных программ,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инновационных проектов,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также в рамках исследовательских грантов отечественных и зарубежных фондов,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таких как: Белорусский республиканский фонд фундаментальных исследований (БРФФИ),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ООН по вопросам образования,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науки и культуры (ЮНЕСКО),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Международная ассоциация по содействию сотрудничеству с учеными Новых независимых государств бывшего Советского Союза (ИНТАС),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Международное агентство по атомной энергии (МАГАТЭ),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Международный научно–технический центр (МНТЦ) и др.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Культура (в том числе религиозная) накладывает свой отпечаток на процесс воспроизводства человеческого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затрагивая прежде всего его психологическую составляющую.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культуре концентрируется опыт поколений,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сохраняются и не исчезают со смертью конкретного человека знания,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навыки,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формируются и получают свое развитие встроенные регуляторы отношений между людьми и структуры приложения трудовых усилий.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Культурный уровень граждан в значительной степени определяет экономические достижения общества,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его социально–политическую,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идеологическую,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образовательную и духовно–моральную структуру.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своем развитии от рождения до смерти человек проходит через ряд естественных возрастных стадий,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каждая из которых характеризуется особым состоянием его природных и приобретенных свойств и определяет особенности его участия в образовательной,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производственной,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научной и культурной деятельности.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 каждой стадии требуются особые вложения в формирование человека,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отсутствие которых нельзя полностью возместить никакими запоздавшими затратами на последующих стадиях.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Проведенный анализ показывает, что одним из основных факторов стабильного развития Республики Беларусь является достаточно высокий уровень накопленного человеческого капитала страны.</w:t>
      </w:r>
    </w:p>
    <w:p w:rsidR="009718F9" w:rsidRPr="006822EA" w:rsidRDefault="009718F9" w:rsidP="006822EA">
      <w:pPr>
        <w:pStyle w:val="1"/>
        <w:widowControl w:val="0"/>
        <w:spacing w:line="360" w:lineRule="auto"/>
        <w:jc w:val="both"/>
        <w:rPr>
          <w:b/>
        </w:rPr>
      </w:pPr>
      <w:bookmarkStart w:id="5" w:name="_Toc263616710"/>
      <w:r w:rsidRPr="006822EA">
        <w:br w:type="page"/>
      </w:r>
      <w:bookmarkEnd w:id="5"/>
      <w:r w:rsidRPr="006822EA">
        <w:rPr>
          <w:b/>
        </w:rPr>
        <w:t>ЗАКЛЮЧЕНИЕ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— совокупность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навыков,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использующихся для удовлетворения многообразных потребностей человека и общества в целом.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Впервые этот термин использовал Теодор Шульц,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а его последователь Гэри Беккер развил эту идею,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обосновав эффективность вложений в человеческий капитал и сформулировав экономический подход к человеческому поведению.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– главный фактор формирования и развития инновационной экономики и экономики знаний,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как следующего высшего этапа развития.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Основоположники теории человеческого капитала дали его узкое определение,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которое со временем расширялось и продолжает расширяться,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все новые составляющие.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 результате человеческий капитал превратился в сложный интенсивный фактор развития современной экономики — экономики знаний.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Для воспроизводства человеческого капитала необходимы значительные затраты и различные виды ресурсов как со стороны индивида,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так и со стороны общества (государственных учреждений,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частных фирм,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семьи и т. д.</w:t>
      </w:r>
      <w:r w:rsidR="006822EA">
        <w:rPr>
          <w:rFonts w:ascii="Times New Roman" w:hAnsi="Times New Roman"/>
          <w:sz w:val="28"/>
          <w:szCs w:val="28"/>
        </w:rPr>
        <w:t>)</w:t>
      </w:r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Подчеркивая схожесть таких затрат с вложениями других видов капитала,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экономисты относятся к ним как к инвестициям в человеческий капитал.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Источниками таких инвестиций являются затраты работодателей,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бюджетные расходы государства,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индивидуальные расходы граждан.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Структура вложений в человеческий капитал включает в себя следующие виды инвестиций: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подготовка на производстве;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здравоохранение;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мотивация;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поиск информации и миграция;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фундаментальные научные разработки;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экология и здоровый образ жизни;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культура и досуг.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Наиболее обобщенным подходом к определению составляющих человеческого капитала является: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биологический человеческий капитал – ценностный уровень физических способностей к выполнению трудовых операций,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уровень здоровья населения;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– культурный человеческий капитал – совокупность интеллектуальных способностей,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образованности,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умений,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навыков,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моральных качеств,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квалификационной подготовки индивидов,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которые используются или могут быть использованы в трудовой деятельности и узаконивают обладание статусом и властью.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Основными драйверами развития человеческого капитала являются конкуренция,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инновации.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Для эффективного функционирования человеческого капитала необходимо конкурентоспособное качество жизни,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включая безопасность,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экологию и жилищные условия,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причем на уровне развитых стран мира.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Иначе лучшие специалисты уезжают туда,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где им удобнее жить и комфортнее и безопаснее работать.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Инвестиции в составляющие человеческого капитала и составляют его структуру: воспитание,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образование,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здоровье,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личная безопасность,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предпринимательская способность,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инвестиции в подготовку элиты,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инструментарий интеллектуального труда,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информационное обслуживание и т.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Человеческий капитал как производительный фактор по степени эффективности можно разделить на отрицательный (разрушительный) и положительный (созидательный).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Между этими крайними состояниями и составляющими совокупного человеческого капитала существуют промежуточные по эффективности состояния и составляющие ЧК.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Согласно докладу ООН 2009г.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«О человеческом развитии» Беларусь занимает 68–е место в общем рейтинге,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входит в группу стран с высоким уровнем человеческого развития и опережает все страны СНГ.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По уровню образования Беларусь опережает многие государства,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входящие в группу стран с очень высоким уровнем развития человеческого потенциала и находится на второй позиции в СНГ.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В 2009 году снижается доля населения в возрасте 40–49 лет,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однако растет доля населения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возрасте 25–34 года,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которое является наиболее инициативным,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положительно для развития человеческого капитала.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Проведенный анализ показывает,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что достаточно высокий уровень накопленного человеческого капитала Республики Беларусь является одним из основных факторов стабильного развития страны.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440" w:rsidRDefault="009064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18F9" w:rsidRPr="006822EA" w:rsidRDefault="009718F9" w:rsidP="006822EA">
      <w:pPr>
        <w:pStyle w:val="1"/>
        <w:widowControl w:val="0"/>
        <w:spacing w:line="360" w:lineRule="auto"/>
        <w:jc w:val="both"/>
        <w:rPr>
          <w:b/>
        </w:rPr>
      </w:pPr>
      <w:r w:rsidRPr="006822EA">
        <w:rPr>
          <w:b/>
        </w:rPr>
        <w:t>СПИСОК ИСПОЛЬЗОВАННЫХ ИСТОЧНИКОВ:</w:t>
      </w:r>
    </w:p>
    <w:p w:rsidR="009718F9" w:rsidRPr="006822EA" w:rsidRDefault="009718F9" w:rsidP="006822E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Беккер Гэри.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семьи и макроповедение // США: экономика,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политика,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идеология.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2008.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№ 2–3.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2.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Виноградский Б.Б.,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Сизов В.С.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Менеджмент в китайской традиции: учеб.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пособие. – М.: Экономистъ,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2007.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255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3.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Волгин Н.А.,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Плакся В.И.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Доходы и занятость: мотивационный аспект. М.,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354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Волгин Н.А.,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Николаев С.В.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Доходы работника и результативность производства: Проблемы,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реалии,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перспективы. -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М. 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298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Волгин Н.А.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Опыт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развития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человеческого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М.,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504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Владимирова Л.П.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труда. – М.,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2007.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624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7.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Воловская А.М.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и социология труда. 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355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8.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Гойло В.С.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Современные западные теории воспроизводства рабочей силы.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М.: 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299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9.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Дайновский А.Б.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высшего образования.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М., 2006.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316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10. Добрынин А.И.,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Дятлов С.А. , Курганский С.А.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Производительные силы человека: структура и формы проявления.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СПб. : СПбУЭФ,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2003.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382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11. Долан 3.Дж., Линдсей Д. Микроэкономика; под общ.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ред.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Лисовика,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Лукашевича.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— СПб., 1994.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447</w:t>
      </w:r>
      <w:r w:rsidRPr="006822EA">
        <w:rPr>
          <w:rFonts w:ascii="Times New Roman" w:hAnsi="Times New Roman"/>
          <w:sz w:val="28"/>
          <w:szCs w:val="28"/>
          <w:lang w:val="en-US"/>
        </w:rPr>
        <w:t>c</w:t>
      </w:r>
      <w:r w:rsidRPr="006822EA">
        <w:rPr>
          <w:rFonts w:ascii="Times New Roman" w:hAnsi="Times New Roman"/>
          <w:sz w:val="28"/>
          <w:szCs w:val="28"/>
        </w:rPr>
        <w:t>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12. Дятлов С.А.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Человеческий капитал Китая: проблемы эффективности использования в условиях переходной экономики. – СПб.: СПбУЭФ, 2005.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550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13. Дятлов С.А.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Основы теории человеческого капитала.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СПб.: СПбУЭФ, 2004.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469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14. Дятлов С. 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образования в условиях переходного периода.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СПб.: СПбУЭФ, 2005.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394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15. Ефременко Н.В. Национальная стратегия как инструмент борьбы с бедностью/ Н.В. Ефременко // Белорусский экономический журнал. – </w:t>
      </w:r>
      <w:smartTag w:uri="urn:schemas-microsoft-com:office:smarttags" w:element="metricconverter">
        <w:smartTagPr>
          <w:attr w:name="ProductID" w:val="2010 г"/>
        </w:smartTagPr>
        <w:r w:rsidRPr="006822EA">
          <w:rPr>
            <w:rFonts w:ascii="Times New Roman" w:hAnsi="Times New Roman"/>
            <w:sz w:val="28"/>
            <w:szCs w:val="28"/>
          </w:rPr>
          <w:t>2010 г</w:t>
        </w:r>
      </w:smartTag>
      <w:r w:rsidRPr="006822EA">
        <w:rPr>
          <w:rFonts w:ascii="Times New Roman" w:hAnsi="Times New Roman"/>
          <w:sz w:val="28"/>
          <w:szCs w:val="28"/>
        </w:rPr>
        <w:t>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№1.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16.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Завельский М.Г.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Экономика и социология труда. 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М.,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366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17. Кардашов В.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Мотивация персонала: Теория и практика // Человек и труд.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2008.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№10.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18. Капелюшников Р.И.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Современные западные концепции формирования рабочей силы.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М.: 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2005.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502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19. Капелюшников Р.И. Экономический подход Гэри Беккера к человеческому поведению // США: экономика,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политика,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идеология.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2009.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 № 11.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20. Капелюшников Р.И. Концепция человеческого капитала. Критика современной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буржуазной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политической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экономии.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М.: Наука,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2007. 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462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21. Мажилис Марат Оспанов. // Начнем с понедельника, – 1998. –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№ 24 (193).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caps/>
          <w:sz w:val="28"/>
          <w:szCs w:val="28"/>
          <w:lang w:val="en-US"/>
        </w:rPr>
        <w:t>url</w:t>
      </w:r>
      <w:r w:rsidRPr="006822EA">
        <w:rPr>
          <w:rFonts w:ascii="Times New Roman" w:hAnsi="Times New Roman"/>
          <w:sz w:val="28"/>
          <w:szCs w:val="28"/>
        </w:rPr>
        <w:t>: www.eurasia.org.ru/articles/Dop05.htm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22. Материалы Мин – ва анализа и статистики Республики Беларусь. – </w:t>
      </w:r>
      <w:r w:rsidRPr="006822EA">
        <w:rPr>
          <w:rFonts w:ascii="Times New Roman" w:hAnsi="Times New Roman"/>
          <w:caps/>
          <w:sz w:val="28"/>
          <w:szCs w:val="28"/>
          <w:lang w:val="en-US"/>
        </w:rPr>
        <w:t>url</w:t>
      </w:r>
      <w:r w:rsidRPr="006822EA">
        <w:rPr>
          <w:rFonts w:ascii="Times New Roman" w:hAnsi="Times New Roman"/>
          <w:sz w:val="28"/>
          <w:szCs w:val="28"/>
        </w:rPr>
        <w:t xml:space="preserve">: </w:t>
      </w:r>
      <w:r w:rsidRPr="006822EA">
        <w:rPr>
          <w:rFonts w:ascii="Times New Roman" w:hAnsi="Times New Roman"/>
          <w:sz w:val="28"/>
          <w:szCs w:val="28"/>
          <w:lang w:val="en-US"/>
        </w:rPr>
        <w:t>www</w:t>
      </w:r>
      <w:r w:rsidRPr="006822EA">
        <w:rPr>
          <w:rFonts w:ascii="Times New Roman" w:hAnsi="Times New Roman"/>
          <w:sz w:val="28"/>
          <w:szCs w:val="28"/>
        </w:rPr>
        <w:t>.</w:t>
      </w:r>
      <w:r w:rsidRPr="006822EA">
        <w:rPr>
          <w:rFonts w:ascii="Times New Roman" w:hAnsi="Times New Roman"/>
          <w:sz w:val="28"/>
          <w:szCs w:val="28"/>
          <w:lang w:val="en-US"/>
        </w:rPr>
        <w:t>belstat</w:t>
      </w:r>
      <w:r w:rsidRPr="006822EA">
        <w:rPr>
          <w:rFonts w:ascii="Times New Roman" w:hAnsi="Times New Roman"/>
          <w:sz w:val="28"/>
          <w:szCs w:val="28"/>
        </w:rPr>
        <w:t>.</w:t>
      </w:r>
      <w:r w:rsidRPr="006822EA">
        <w:rPr>
          <w:rFonts w:ascii="Times New Roman" w:hAnsi="Times New Roman"/>
          <w:sz w:val="28"/>
          <w:szCs w:val="28"/>
          <w:lang w:val="en-US"/>
        </w:rPr>
        <w:t>gov</w:t>
      </w:r>
      <w:r w:rsidRPr="006822EA">
        <w:rPr>
          <w:rFonts w:ascii="Times New Roman" w:hAnsi="Times New Roman"/>
          <w:sz w:val="28"/>
          <w:szCs w:val="28"/>
        </w:rPr>
        <w:t>.</w:t>
      </w:r>
      <w:r w:rsidRPr="006822EA">
        <w:rPr>
          <w:rFonts w:ascii="Times New Roman" w:hAnsi="Times New Roman"/>
          <w:sz w:val="28"/>
          <w:szCs w:val="28"/>
          <w:lang w:val="en-US"/>
        </w:rPr>
        <w:t>by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>23. Национальная экономика Беларуси: Потенциалы.</w:t>
      </w:r>
      <w:r w:rsidR="006822EA">
        <w:rPr>
          <w:rFonts w:ascii="Times New Roman" w:hAnsi="Times New Roman"/>
          <w:sz w:val="28"/>
          <w:szCs w:val="28"/>
        </w:rPr>
        <w:t xml:space="preserve"> </w:t>
      </w:r>
      <w:r w:rsidRPr="006822EA">
        <w:rPr>
          <w:rFonts w:ascii="Times New Roman" w:hAnsi="Times New Roman"/>
          <w:sz w:val="28"/>
          <w:szCs w:val="28"/>
        </w:rPr>
        <w:t>Хозяйственные комплексы. Направления развития. Механизмы управления: учеб. Пособие / В.Н. Шимов [и др.]; под общ. ред. В.Н. Шимова. – Минск: БГЭУ, 2009. – 514 с.</w:t>
      </w:r>
    </w:p>
    <w:p w:rsidR="009718F9" w:rsidRPr="006822EA" w:rsidRDefault="009718F9" w:rsidP="0090644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22EA">
        <w:rPr>
          <w:rFonts w:ascii="Times New Roman" w:hAnsi="Times New Roman"/>
          <w:sz w:val="28"/>
          <w:szCs w:val="28"/>
        </w:rPr>
        <w:t xml:space="preserve">24. Управление персоналом: Учебник; под ред. Е.А. </w:t>
      </w:r>
      <w:r w:rsidRPr="006822EA">
        <w:rPr>
          <w:rStyle w:val="a8"/>
          <w:rFonts w:ascii="Times New Roman" w:hAnsi="Times New Roman"/>
          <w:i w:val="0"/>
          <w:iCs w:val="0"/>
          <w:sz w:val="28"/>
          <w:szCs w:val="28"/>
        </w:rPr>
        <w:t>Аксенова [и др.]</w:t>
      </w:r>
      <w:r w:rsidR="006822EA">
        <w:rPr>
          <w:rStyle w:val="a8"/>
          <w:rFonts w:ascii="Times New Roman" w:hAnsi="Times New Roman"/>
          <w:i w:val="0"/>
          <w:iCs w:val="0"/>
          <w:sz w:val="28"/>
          <w:szCs w:val="28"/>
        </w:rPr>
        <w:t>.</w:t>
      </w:r>
      <w:r w:rsidRPr="006822EA">
        <w:rPr>
          <w:rStyle w:val="a8"/>
          <w:rFonts w:ascii="Times New Roman" w:hAnsi="Times New Roman"/>
          <w:i w:val="0"/>
          <w:iCs w:val="0"/>
          <w:sz w:val="28"/>
          <w:szCs w:val="28"/>
        </w:rPr>
        <w:t xml:space="preserve"> М.: ЮНИТИ, 1998. – 560 с.</w:t>
      </w:r>
      <w:bookmarkStart w:id="6" w:name="_GoBack"/>
      <w:bookmarkEnd w:id="6"/>
    </w:p>
    <w:sectPr w:rsidR="009718F9" w:rsidRPr="006822EA" w:rsidSect="006822EA">
      <w:headerReference w:type="even" r:id="rId6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AFB" w:rsidRDefault="00594AFB">
      <w:pPr>
        <w:spacing w:after="0" w:line="240" w:lineRule="auto"/>
      </w:pPr>
      <w:r>
        <w:separator/>
      </w:r>
    </w:p>
  </w:endnote>
  <w:endnote w:type="continuationSeparator" w:id="0">
    <w:p w:rsidR="00594AFB" w:rsidRDefault="0059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AFB" w:rsidRDefault="00594AFB">
      <w:pPr>
        <w:spacing w:after="0" w:line="240" w:lineRule="auto"/>
      </w:pPr>
      <w:r>
        <w:separator/>
      </w:r>
    </w:p>
  </w:footnote>
  <w:footnote w:type="continuationSeparator" w:id="0">
    <w:p w:rsidR="00594AFB" w:rsidRDefault="0059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EA" w:rsidRDefault="00906440" w:rsidP="006822EA">
    <w:pPr>
      <w:pStyle w:val="a6"/>
      <w:framePr w:wrap="around" w:vAnchor="text" w:hAnchor="margin" w:xAlign="right" w:y="1"/>
      <w:rPr>
        <w:rStyle w:val="a9"/>
      </w:rPr>
    </w:pPr>
    <w:r>
      <w:rPr>
        <w:rStyle w:val="a9"/>
        <w:noProof/>
      </w:rPr>
      <w:t>20</w:t>
    </w:r>
  </w:p>
  <w:p w:rsidR="006822EA" w:rsidRDefault="006822EA" w:rsidP="006822EA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8F9"/>
    <w:rsid w:val="00020345"/>
    <w:rsid w:val="000631A2"/>
    <w:rsid w:val="00077D15"/>
    <w:rsid w:val="00086AA6"/>
    <w:rsid w:val="000A14DB"/>
    <w:rsid w:val="000B3504"/>
    <w:rsid w:val="00145B71"/>
    <w:rsid w:val="001B46A2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94AFB"/>
    <w:rsid w:val="005B1F3E"/>
    <w:rsid w:val="005E6369"/>
    <w:rsid w:val="00634225"/>
    <w:rsid w:val="006476C1"/>
    <w:rsid w:val="00673F40"/>
    <w:rsid w:val="006822EA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06440"/>
    <w:rsid w:val="009116BE"/>
    <w:rsid w:val="00943B15"/>
    <w:rsid w:val="00945BC2"/>
    <w:rsid w:val="009718F9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7441E"/>
    <w:rsid w:val="00DB20B8"/>
    <w:rsid w:val="00DB304C"/>
    <w:rsid w:val="00DC4105"/>
    <w:rsid w:val="00E10C00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26098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F2E1C0-9907-4F42-91E1-CD9AB3F6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F9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718F9"/>
    <w:pPr>
      <w:spacing w:after="0" w:line="300" w:lineRule="auto"/>
      <w:ind w:firstLine="709"/>
      <w:jc w:val="center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718F9"/>
    <w:rPr>
      <w:rFonts w:ascii="Times New Roman" w:hAnsi="Times New Roman" w:cs="Times New Roman"/>
      <w:sz w:val="28"/>
      <w:szCs w:val="28"/>
    </w:rPr>
  </w:style>
  <w:style w:type="character" w:styleId="a3">
    <w:name w:val="Hyperlink"/>
    <w:uiPriority w:val="99"/>
    <w:unhideWhenUsed/>
    <w:rsid w:val="009718F9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9718F9"/>
    <w:pPr>
      <w:spacing w:after="0" w:line="240" w:lineRule="auto"/>
      <w:ind w:firstLine="709"/>
    </w:pPr>
    <w:rPr>
      <w:rFonts w:ascii="Times New Roman" w:hAnsi="Times New Roman"/>
      <w:sz w:val="28"/>
      <w:szCs w:val="20"/>
      <w:lang w:eastAsia="ru-RU"/>
    </w:rPr>
  </w:style>
  <w:style w:type="character" w:customStyle="1" w:styleId="21">
    <w:name w:val="Основной текст с отступом 2 Знак1"/>
    <w:uiPriority w:val="99"/>
    <w:semiHidden/>
    <w:rPr>
      <w:rFonts w:ascii="Calibri" w:hAnsi="Calibri" w:cs="Times New Roman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718F9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Pr>
      <w:rFonts w:ascii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ascii="Calibri" w:hAnsi="Calibri" w:cs="Times New Roman"/>
      <w:sz w:val="16"/>
      <w:szCs w:val="16"/>
    </w:rPr>
  </w:style>
  <w:style w:type="paragraph" w:styleId="a4">
    <w:name w:val="footer"/>
    <w:basedOn w:val="a"/>
    <w:link w:val="a5"/>
    <w:uiPriority w:val="99"/>
    <w:unhideWhenUsed/>
    <w:rsid w:val="009718F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uiPriority w:val="99"/>
    <w:semiHidden/>
    <w:rPr>
      <w:rFonts w:ascii="Calibri" w:hAnsi="Calibri" w:cs="Times New Roman"/>
    </w:rPr>
  </w:style>
  <w:style w:type="character" w:customStyle="1" w:styleId="a5">
    <w:name w:val="Нижний колонтитул Знак"/>
    <w:link w:val="a4"/>
    <w:uiPriority w:val="99"/>
    <w:semiHidden/>
    <w:locked/>
    <w:rPr>
      <w:rFonts w:ascii="Calibri" w:hAnsi="Calibri" w:cs="Times New Roman"/>
    </w:rPr>
  </w:style>
  <w:style w:type="paragraph" w:styleId="a6">
    <w:name w:val="header"/>
    <w:basedOn w:val="a"/>
    <w:link w:val="a7"/>
    <w:uiPriority w:val="99"/>
    <w:rsid w:val="009718F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uiPriority w:val="99"/>
    <w:semiHidden/>
    <w:rPr>
      <w:rFonts w:ascii="Calibri" w:hAnsi="Calibri" w:cs="Times New Roman"/>
    </w:rPr>
  </w:style>
  <w:style w:type="character" w:customStyle="1" w:styleId="a7">
    <w:name w:val="Верхний колонтитул Знак"/>
    <w:link w:val="a6"/>
    <w:uiPriority w:val="99"/>
    <w:semiHidden/>
    <w:locked/>
    <w:rPr>
      <w:rFonts w:ascii="Calibri" w:hAnsi="Calibri" w:cs="Times New Roman"/>
    </w:rPr>
  </w:style>
  <w:style w:type="paragraph" w:styleId="13">
    <w:name w:val="toc 1"/>
    <w:basedOn w:val="a"/>
    <w:next w:val="a"/>
    <w:autoRedefine/>
    <w:uiPriority w:val="39"/>
    <w:unhideWhenUsed/>
    <w:rsid w:val="009718F9"/>
  </w:style>
  <w:style w:type="paragraph" w:customStyle="1" w:styleId="Pa33">
    <w:name w:val="Pa33"/>
    <w:basedOn w:val="a"/>
    <w:next w:val="a"/>
    <w:rsid w:val="009718F9"/>
    <w:pPr>
      <w:autoSpaceDE w:val="0"/>
      <w:autoSpaceDN w:val="0"/>
      <w:adjustRightInd w:val="0"/>
      <w:spacing w:after="0" w:line="201" w:lineRule="atLeast"/>
    </w:pPr>
    <w:rPr>
      <w:rFonts w:ascii="Arial" w:hAnsi="Arial"/>
      <w:sz w:val="24"/>
      <w:szCs w:val="24"/>
      <w:lang w:eastAsia="ru-RU"/>
    </w:rPr>
  </w:style>
  <w:style w:type="paragraph" w:customStyle="1" w:styleId="Pa37">
    <w:name w:val="Pa37"/>
    <w:basedOn w:val="a"/>
    <w:next w:val="a"/>
    <w:rsid w:val="009718F9"/>
    <w:pPr>
      <w:autoSpaceDE w:val="0"/>
      <w:autoSpaceDN w:val="0"/>
      <w:adjustRightInd w:val="0"/>
      <w:spacing w:after="0" w:line="201" w:lineRule="atLeast"/>
    </w:pPr>
    <w:rPr>
      <w:rFonts w:ascii="Arial" w:hAnsi="Arial"/>
      <w:sz w:val="24"/>
      <w:szCs w:val="24"/>
      <w:lang w:eastAsia="ru-RU"/>
    </w:rPr>
  </w:style>
  <w:style w:type="character" w:customStyle="1" w:styleId="A40">
    <w:name w:val="A4"/>
    <w:rsid w:val="009718F9"/>
    <w:rPr>
      <w:color w:val="221E1F"/>
      <w:sz w:val="18"/>
    </w:rPr>
  </w:style>
  <w:style w:type="paragraph" w:customStyle="1" w:styleId="Pa53">
    <w:name w:val="Pa53"/>
    <w:basedOn w:val="a"/>
    <w:next w:val="a"/>
    <w:rsid w:val="009718F9"/>
    <w:pPr>
      <w:autoSpaceDE w:val="0"/>
      <w:autoSpaceDN w:val="0"/>
      <w:adjustRightInd w:val="0"/>
      <w:spacing w:after="0" w:line="161" w:lineRule="atLeast"/>
    </w:pPr>
    <w:rPr>
      <w:rFonts w:ascii="Arial" w:hAnsi="Arial"/>
      <w:sz w:val="24"/>
      <w:szCs w:val="24"/>
      <w:lang w:eastAsia="ru-RU"/>
    </w:rPr>
  </w:style>
  <w:style w:type="character" w:customStyle="1" w:styleId="A30">
    <w:name w:val="A3"/>
    <w:rsid w:val="009718F9"/>
    <w:rPr>
      <w:color w:val="221E1F"/>
      <w:sz w:val="18"/>
    </w:rPr>
  </w:style>
  <w:style w:type="paragraph" w:customStyle="1" w:styleId="Pa48">
    <w:name w:val="Pa48"/>
    <w:basedOn w:val="a"/>
    <w:next w:val="a"/>
    <w:rsid w:val="009718F9"/>
    <w:pPr>
      <w:autoSpaceDE w:val="0"/>
      <w:autoSpaceDN w:val="0"/>
      <w:adjustRightInd w:val="0"/>
      <w:spacing w:after="0" w:line="161" w:lineRule="atLeast"/>
    </w:pPr>
    <w:rPr>
      <w:rFonts w:ascii="Arial" w:hAnsi="Arial"/>
      <w:sz w:val="24"/>
      <w:szCs w:val="24"/>
      <w:lang w:eastAsia="ru-RU"/>
    </w:rPr>
  </w:style>
  <w:style w:type="paragraph" w:customStyle="1" w:styleId="Pa54">
    <w:name w:val="Pa54"/>
    <w:basedOn w:val="a"/>
    <w:next w:val="a"/>
    <w:rsid w:val="009718F9"/>
    <w:pPr>
      <w:autoSpaceDE w:val="0"/>
      <w:autoSpaceDN w:val="0"/>
      <w:adjustRightInd w:val="0"/>
      <w:spacing w:after="0" w:line="161" w:lineRule="atLeast"/>
    </w:pPr>
    <w:rPr>
      <w:rFonts w:ascii="Arial" w:hAnsi="Arial"/>
      <w:sz w:val="24"/>
      <w:szCs w:val="24"/>
      <w:lang w:eastAsia="ru-RU"/>
    </w:rPr>
  </w:style>
  <w:style w:type="paragraph" w:customStyle="1" w:styleId="Pa49">
    <w:name w:val="Pa49"/>
    <w:basedOn w:val="a"/>
    <w:next w:val="a"/>
    <w:rsid w:val="009718F9"/>
    <w:pPr>
      <w:autoSpaceDE w:val="0"/>
      <w:autoSpaceDN w:val="0"/>
      <w:adjustRightInd w:val="0"/>
      <w:spacing w:after="0" w:line="161" w:lineRule="atLeast"/>
    </w:pPr>
    <w:rPr>
      <w:rFonts w:ascii="Arial" w:hAnsi="Arial"/>
      <w:sz w:val="24"/>
      <w:szCs w:val="24"/>
      <w:lang w:eastAsia="ru-RU"/>
    </w:rPr>
  </w:style>
  <w:style w:type="paragraph" w:customStyle="1" w:styleId="Pa40">
    <w:name w:val="Pa40"/>
    <w:basedOn w:val="a"/>
    <w:next w:val="a"/>
    <w:rsid w:val="009718F9"/>
    <w:pPr>
      <w:autoSpaceDE w:val="0"/>
      <w:autoSpaceDN w:val="0"/>
      <w:adjustRightInd w:val="0"/>
      <w:spacing w:after="0" w:line="161" w:lineRule="atLeast"/>
    </w:pPr>
    <w:rPr>
      <w:rFonts w:ascii="Arial" w:hAnsi="Arial"/>
      <w:sz w:val="24"/>
      <w:szCs w:val="24"/>
      <w:lang w:eastAsia="ru-RU"/>
    </w:rPr>
  </w:style>
  <w:style w:type="paragraph" w:customStyle="1" w:styleId="Pa9">
    <w:name w:val="Pa9"/>
    <w:basedOn w:val="a"/>
    <w:next w:val="a"/>
    <w:rsid w:val="009718F9"/>
    <w:pPr>
      <w:autoSpaceDE w:val="0"/>
      <w:autoSpaceDN w:val="0"/>
      <w:adjustRightInd w:val="0"/>
      <w:spacing w:after="0" w:line="241" w:lineRule="atLeast"/>
    </w:pPr>
    <w:rPr>
      <w:rFonts w:ascii="Arial" w:hAnsi="Arial"/>
      <w:sz w:val="24"/>
      <w:szCs w:val="24"/>
      <w:lang w:eastAsia="ru-RU"/>
    </w:rPr>
  </w:style>
  <w:style w:type="character" w:styleId="a8">
    <w:name w:val="Emphasis"/>
    <w:uiPriority w:val="20"/>
    <w:qFormat/>
    <w:rsid w:val="009718F9"/>
    <w:rPr>
      <w:rFonts w:cs="Times New Roman"/>
      <w:i/>
      <w:iCs/>
    </w:rPr>
  </w:style>
  <w:style w:type="character" w:styleId="a9">
    <w:name w:val="page number"/>
    <w:uiPriority w:val="99"/>
    <w:rsid w:val="009718F9"/>
    <w:rPr>
      <w:rFonts w:cs="Times New Roman"/>
    </w:rPr>
  </w:style>
  <w:style w:type="table" w:styleId="aa">
    <w:name w:val="Table Grid"/>
    <w:basedOn w:val="a1"/>
    <w:uiPriority w:val="59"/>
    <w:rsid w:val="0090644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9387</Words>
  <Characters>53508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2014-02-27T20:42:00Z</dcterms:created>
  <dcterms:modified xsi:type="dcterms:W3CDTF">2014-02-27T20:42:00Z</dcterms:modified>
</cp:coreProperties>
</file>