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B45" w:rsidRPr="00AF4B45" w:rsidRDefault="00AF4B45" w:rsidP="00AF4B45">
      <w:pPr>
        <w:pStyle w:val="a3"/>
        <w:jc w:val="center"/>
      </w:pPr>
      <w:r w:rsidRPr="00AF4B45">
        <w:rPr>
          <w:b/>
          <w:bCs/>
        </w:rPr>
        <w:t>Введение</w:t>
      </w:r>
    </w:p>
    <w:p w:rsidR="00AF4B45" w:rsidRPr="00AF4B45" w:rsidRDefault="00AF4B45" w:rsidP="00AF4B45">
      <w:pPr>
        <w:pStyle w:val="a3"/>
        <w:jc w:val="both"/>
      </w:pPr>
      <w:r w:rsidRPr="00AF4B45">
        <w:t xml:space="preserve">Доклад о социально-экономической ситуации в Ямало-Ненецком автономном округе за 2002 год подготовлен департаментом экономики и инвестиционной политики в соответствии с распоряжением Губернатора автономного округа "О мониторинге социально-экономической ситуации в Ямало-Ненецком автономном округе" от 29 апреля 2002 года № 441-р. </w:t>
      </w:r>
    </w:p>
    <w:p w:rsidR="00AF4B45" w:rsidRPr="00AF4B45" w:rsidRDefault="00AF4B45" w:rsidP="00AF4B45">
      <w:pPr>
        <w:pStyle w:val="a3"/>
        <w:jc w:val="both"/>
      </w:pPr>
      <w:r w:rsidRPr="00AF4B45">
        <w:t xml:space="preserve">Для подготовки доклада использованы отчетные данные за 2002 год по основным экономическим и социальным показателям, представленные Комитетом государственной статистики Ямало-Ненецкого автономного округа; информация департаментов, комитетов Администрации автономного округа о состоянии курируемых ими отраслей и сфер деятельности в 2002 году. </w:t>
      </w:r>
    </w:p>
    <w:p w:rsidR="00AF4B45" w:rsidRPr="00AF4B45" w:rsidRDefault="00AF4B45" w:rsidP="00AF4B45">
      <w:pPr>
        <w:pStyle w:val="a3"/>
        <w:jc w:val="both"/>
      </w:pPr>
      <w:r w:rsidRPr="00AF4B45">
        <w:t xml:space="preserve">В ряде сфер социально-экономической деятельности автономного округа оправдались прогнозные показатели на 2002 год, разработанные в конце 2001 года. Так, ряд показателей фактически оказались немногим выше прогнозных данных: </w:t>
      </w:r>
    </w:p>
    <w:p w:rsidR="00AF4B45" w:rsidRPr="00AF4B45" w:rsidRDefault="00AF4B45" w:rsidP="00AF4B45">
      <w:pPr>
        <w:pStyle w:val="a3"/>
        <w:jc w:val="both"/>
      </w:pPr>
      <w:r w:rsidRPr="00AF4B45">
        <w:t xml:space="preserve">- объем промышленной продукции: прогноз - 154,7 млрд. рублей, факт - 164,7 млрд. рублей; </w:t>
      </w:r>
      <w:r w:rsidRPr="00AF4B45">
        <w:br/>
        <w:t xml:space="preserve">- объем розничного товарооборота: прогноз - 19,3 млрд. рублей, факт - 22,1 млрд. рублей; </w:t>
      </w:r>
      <w:r w:rsidRPr="00AF4B45">
        <w:br/>
        <w:t xml:space="preserve">- среднемесячная заработная плата: прогноз - 14390 рублей, факт - 15308 рублей; </w:t>
      </w:r>
      <w:r w:rsidRPr="00AF4B45">
        <w:br/>
        <w:t xml:space="preserve">- индекс потребительских цен: прогноз - 114,0%, факт -114,8%. </w:t>
      </w:r>
    </w:p>
    <w:p w:rsidR="00AF4B45" w:rsidRPr="00AF4B45" w:rsidRDefault="00AF4B45" w:rsidP="00AF4B45">
      <w:pPr>
        <w:pStyle w:val="a3"/>
        <w:jc w:val="both"/>
      </w:pPr>
      <w:r w:rsidRPr="00AF4B45">
        <w:t xml:space="preserve">К положительным моментам развития автономного округа следует отнести рост реальных располагаемых денежных доходов населения, сокращение задолженности по выплате заработной платы, отсутствие задолженности по выплате пенсий. Меньше прогнозного сложился уровень регистрируемой безработицы: прогноз - 3,0%, факт - 2,7 процента. </w:t>
      </w:r>
    </w:p>
    <w:p w:rsidR="00AF4B45" w:rsidRPr="00AF4B45" w:rsidRDefault="00DE0D70" w:rsidP="00AF4B45">
      <w:pPr>
        <w:pStyle w:val="a3"/>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6pt;margin-top:65.25pt;width:343.65pt;height:207pt;z-index:-251663872" wrapcoords="134 367 134 21159 21376 21159 21376 367 134 367">
            <v:imagedata r:id="rId6" o:title="01"/>
            <w10:wrap type="tight"/>
          </v:shape>
        </w:pict>
      </w:r>
      <w:r w:rsidR="00AF4B45" w:rsidRPr="00AF4B45">
        <w:t xml:space="preserve">Однако в сельском хозяйстве вместо ожидаемого роста производства продукции произошло снижение относительно 2001 года. Ниже, чем прогнозировалось оказался объем инвестиций в основной капитал: прогноз - 140,0 млрд. рублей, факт - 122,4 млрд. рублей. </w:t>
      </w:r>
    </w:p>
    <w:p w:rsidR="00AF4B45" w:rsidRPr="00AF4B45" w:rsidRDefault="00AF4B45" w:rsidP="00AF4B45">
      <w:pPr>
        <w:pStyle w:val="a3"/>
        <w:jc w:val="center"/>
      </w:pPr>
      <w:r w:rsidRPr="00AF4B45">
        <w:rPr>
          <w:b/>
          <w:bCs/>
        </w:rPr>
        <w:t>Демографическая ситуация</w:t>
      </w:r>
    </w:p>
    <w:p w:rsidR="00AF4B45" w:rsidRPr="00AF4B45" w:rsidRDefault="00AF4B45" w:rsidP="00AF4B45">
      <w:pPr>
        <w:pStyle w:val="a3"/>
        <w:jc w:val="both"/>
      </w:pPr>
      <w:r w:rsidRPr="00AF4B45">
        <w:t xml:space="preserve">Численность наличного населения автономного округа на 1 января 2003 года по оперативным данным составила 504,2 тыс. человек, в том числе городское - 416,4 тыс. человек (82,6%), сельское - 87,8 тыс. человек (17,4%). За 2002 год численность жителей округа увеличилась на 4044 человек. Наибольший прирост населения отмечен в муниципальных образованиях: г. Ноябрьск (1259 чел.), г. Салехард (699 чел.), Пуровский район (684 чел.) </w:t>
      </w:r>
    </w:p>
    <w:p w:rsidR="00AF4B45" w:rsidRPr="00AF4B45" w:rsidRDefault="00AF4B45" w:rsidP="00AF4B45">
      <w:pPr>
        <w:pStyle w:val="a3"/>
        <w:jc w:val="both"/>
      </w:pPr>
      <w:r w:rsidRPr="00AF4B45">
        <w:t xml:space="preserve">В течение 2002 года в автономный округ прибыло 15783 человек, выбыло 15398 человек, механический прирост составил 475 человек. Миграционный отток отмечен в муниципальных образованиях: г. Надым и Надымский район (320 чел.), г. Лабытнанги (275 чел.), г. Новый Уренгой (206 чел.), Тазовский район (83 чел.). </w:t>
      </w:r>
    </w:p>
    <w:p w:rsidR="00AF4B45" w:rsidRPr="00AF4B45" w:rsidRDefault="00AF4B45" w:rsidP="00AF4B45">
      <w:pPr>
        <w:pStyle w:val="a3"/>
        <w:jc w:val="both"/>
      </w:pPr>
      <w:r w:rsidRPr="00AF4B45">
        <w:t>В 2002 году в автономном округе зарегистрировано 6578 родившихся, что на 3,6% больше 2001 года, умерло 2919 человека, что на 3,9% меньше 2001 года. Естественный прирост составил 3659 человек, что на 10,4% больше показателя 2001 года.</w:t>
      </w:r>
    </w:p>
    <w:p w:rsidR="00AF4B45" w:rsidRPr="00AF4B45" w:rsidRDefault="00AF4B45" w:rsidP="00AF4B45">
      <w:pPr>
        <w:jc w:val="center"/>
      </w:pPr>
      <w:r w:rsidRPr="00AF4B45">
        <w:rPr>
          <w:b/>
          <w:bCs/>
        </w:rPr>
        <w:t>Инфляция и цены</w:t>
      </w:r>
    </w:p>
    <w:p w:rsidR="00AF4B45" w:rsidRPr="00AF4B45" w:rsidRDefault="00AF4B45" w:rsidP="00AF4B45">
      <w:pPr>
        <w:pStyle w:val="a3"/>
        <w:jc w:val="both"/>
      </w:pPr>
      <w:r>
        <w:t xml:space="preserve">В декабре 2002 год индекс </w:t>
      </w:r>
      <w:r w:rsidRPr="00AF4B45">
        <w:t xml:space="preserve">потребительских цен по Ямало-Ненецкому автономному округу на все товары и платные услуги составил 114,8 % к декабрю 2001 года, по РФ - 115,1% (индекс потребительских цен по ЯНАО в декабре 2001 года к декабрю 2000 года - 122,9%, по РФ - 118,6%). Индексы цен на продовольственные товары (включая алкогольную продукцию) - 112,7 %, на непродовольственные товары - 103,6 %, платные услуги - 141,4 процента. </w:t>
      </w:r>
    </w:p>
    <w:p w:rsidR="00AF4B45" w:rsidRPr="00AF4B45" w:rsidRDefault="00AF4B45" w:rsidP="00AF4B45">
      <w:pPr>
        <w:pStyle w:val="a3"/>
        <w:jc w:val="both"/>
      </w:pPr>
      <w:r w:rsidRPr="00AF4B45">
        <w:t xml:space="preserve">Среди продовольственных товаров наибольшего роста с начала 2002 года достигли цены на: консервы мясные - 132,3%, плодово-овощную продукцию, включая картофель - 128,5%, консервы фруктово-ягодные - 124,7%, консервы овощные - 120,7 %, муку - 116,9%, чай, кофе - 116,9 процента. </w:t>
      </w:r>
    </w:p>
    <w:p w:rsidR="00AF4B45" w:rsidRPr="00AF4B45" w:rsidRDefault="00DE0D70" w:rsidP="00AF4B45">
      <w:pPr>
        <w:pStyle w:val="a3"/>
        <w:jc w:val="both"/>
      </w:pPr>
      <w:r>
        <w:rPr>
          <w:noProof/>
        </w:rPr>
        <w:pict>
          <v:shape id="_x0000_s1027" type="#_x0000_t75" style="position:absolute;left:0;text-align:left;margin-left:0;margin-top:59.6pt;width:468pt;height:270pt;z-index:-251662848" wrapcoords="115 311 115 21227 21408 21227 21408 311 115 311">
            <v:imagedata r:id="rId7" o:title="02"/>
            <w10:wrap type="tight"/>
          </v:shape>
        </w:pict>
      </w:r>
      <w:r w:rsidR="00AF4B45" w:rsidRPr="00AF4B45">
        <w:t xml:space="preserve">В течение 2002 года в группе непродовольственных товаров в большей степени возросли цены на: мебель - 113,3%, обувь детскую - 112,3%, медикаменты - 111,1%, трикотажные изделия - 110,7%, бензин - 108,7%, телерадиотовары - 107,5%, школьно-письменные принадлежности и канцелярские товары - 104,1 процента. </w:t>
      </w:r>
    </w:p>
    <w:p w:rsidR="00AF4B45" w:rsidRPr="00AF4B45" w:rsidRDefault="00AF4B45" w:rsidP="00AF4B45">
      <w:pPr>
        <w:pStyle w:val="a3"/>
        <w:jc w:val="both"/>
      </w:pPr>
      <w:r w:rsidRPr="00AF4B45">
        <w:t xml:space="preserve">В сфере услуг наибольшего роста достигли услуги: жилищно-коммунальные - в 2 раза, образования - 171,8%, дошкольного воспитания - 149,4%, ритуальные - 136,6%, медицинские - 133,3%, связи - 124,9%, пассажирского транспорта - 115,6 процента. </w:t>
      </w:r>
    </w:p>
    <w:p w:rsidR="00AF4B45" w:rsidRPr="00AF4B45" w:rsidRDefault="00AF4B45" w:rsidP="00AF4B45">
      <w:pPr>
        <w:pStyle w:val="a3"/>
        <w:jc w:val="center"/>
      </w:pPr>
      <w:r w:rsidRPr="00AF4B45">
        <w:rPr>
          <w:b/>
          <w:bCs/>
        </w:rPr>
        <w:t>Индексы цен на отдельные группы товаров и платных услуг населению в 2002</w:t>
      </w:r>
      <w:r w:rsidRPr="00AF4B45">
        <w:rPr>
          <w:b/>
          <w:bCs/>
        </w:rPr>
        <w:br/>
        <w:t>по ЯНАО и России,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547"/>
        <w:gridCol w:w="3056"/>
        <w:gridCol w:w="2782"/>
      </w:tblGrid>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Наименование</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Индексы цен по ЯНАО</w:t>
            </w:r>
          </w:p>
          <w:p w:rsidR="00AF4B45" w:rsidRPr="00AF4B45" w:rsidRDefault="00AF4B45" w:rsidP="00AF4B45">
            <w:pPr>
              <w:pStyle w:val="a3"/>
              <w:jc w:val="center"/>
            </w:pPr>
            <w:r w:rsidRPr="00AF4B45">
              <w:t>Декабрь 2002г. к декабрю 2001г.</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Индексы цен по России</w:t>
            </w:r>
          </w:p>
          <w:p w:rsidR="00AF4B45" w:rsidRPr="00AF4B45" w:rsidRDefault="00AF4B45" w:rsidP="00AF4B45">
            <w:pPr>
              <w:pStyle w:val="a3"/>
              <w:jc w:val="center"/>
            </w:pPr>
            <w:r w:rsidRPr="00AF4B45">
              <w:t>Декабрь 2002г. к декабрю 2001г.</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rPr>
                <w:b/>
                <w:bCs/>
              </w:rPr>
              <w:t>Индекс потребительских цен</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114,8</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115,1</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rPr>
                <w:b/>
                <w:bCs/>
              </w:rPr>
              <w:t>Продовольственные товары</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112,7</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111,0</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Хлеб и хлебобулочные изделия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105,5</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104,9</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Макаронные изделия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103,8</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106,5</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Молоко и молочная продукция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109,9</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105,9</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Плодовоовощная продукция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128,5</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133,3</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Сахар-песок</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114,9</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130,8</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Алкогольные напитки</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109,9</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108,9</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rPr>
                <w:b/>
                <w:bCs/>
              </w:rPr>
              <w:t>Непродовольственные товары</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103,6</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110,9</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Медикаменты</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111,1</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115,1</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Трикотажные изделия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110,7</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114,1</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Бензин</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108,7</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120,4</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Телерадиотовары</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107,5</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104,0</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rPr>
                <w:b/>
                <w:bCs/>
              </w:rPr>
              <w:t>Платные услуги</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141,4</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136,2</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Жилищно-коммунальные</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2 раза</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148,8</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Образования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171,8</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125,8</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Дошкольного воспитания</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149,4</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133,6</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Медицинские</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133,3</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130,7</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Связи</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124,9</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137,6</w:t>
            </w:r>
          </w:p>
        </w:tc>
      </w:tr>
      <w:tr w:rsidR="00AF4B45" w:rsidRPr="00AF4B45">
        <w:trPr>
          <w:tblCellSpacing w:w="0" w:type="dxa"/>
          <w:jc w:val="center"/>
        </w:trPr>
        <w:tc>
          <w:tcPr>
            <w:tcW w:w="3645"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Пассажирского транспорта</w:t>
            </w:r>
          </w:p>
        </w:tc>
        <w:tc>
          <w:tcPr>
            <w:tcW w:w="3255"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115,6</w:t>
            </w:r>
          </w:p>
        </w:tc>
        <w:tc>
          <w:tcPr>
            <w:tcW w:w="2955"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126,0</w:t>
            </w:r>
          </w:p>
        </w:tc>
      </w:tr>
    </w:tbl>
    <w:p w:rsidR="00AF4B45" w:rsidRPr="00AF4B45" w:rsidRDefault="00AF4B45" w:rsidP="00AF4B45">
      <w:pPr>
        <w:pStyle w:val="a3"/>
        <w:jc w:val="center"/>
      </w:pPr>
      <w:r w:rsidRPr="00AF4B45">
        <w:rPr>
          <w:b/>
          <w:bCs/>
        </w:rPr>
        <w:t>Характеристика предприятий</w:t>
      </w:r>
    </w:p>
    <w:p w:rsidR="00AF4B45" w:rsidRPr="00AF4B45" w:rsidRDefault="00AF4B45" w:rsidP="00AF4B45">
      <w:pPr>
        <w:pStyle w:val="a3"/>
        <w:jc w:val="both"/>
      </w:pPr>
      <w:r w:rsidRPr="00AF4B45">
        <w:t xml:space="preserve">По данным Единого государственного регистра предприятий и организаций (ЕГРПО) общее число учтенных хозяйствующих субъектов на 1 января 2003 года по автономному округу составило 10320 единиц, на 1 января 2002 года - 9651 единиц. </w:t>
      </w:r>
    </w:p>
    <w:p w:rsidR="00AF4B45" w:rsidRPr="00AF4B45" w:rsidRDefault="00AF4B45" w:rsidP="00AF4B45">
      <w:pPr>
        <w:pStyle w:val="a3"/>
        <w:jc w:val="both"/>
      </w:pPr>
      <w:r w:rsidRPr="00AF4B45">
        <w:t xml:space="preserve">В структуре распределения предприятий и организаций по отраслям экономики наибольший удельный вес занимают предприятия строительства - 28,1%, торговли и общественного питания - 22,8%. Предприятия промышленности составляю 8,2%, транспорта - 6,2%, образования - 4,6 процента. </w:t>
      </w:r>
    </w:p>
    <w:p w:rsidR="00AF4B45" w:rsidRPr="00AF4B45" w:rsidRDefault="00AF4B45" w:rsidP="00AF4B45">
      <w:pPr>
        <w:pStyle w:val="a3"/>
        <w:jc w:val="both"/>
      </w:pPr>
      <w:r w:rsidRPr="00AF4B45">
        <w:t>В структуре предприятий по формам собственности 73,6% составляют предприятия и организации частной собственности, 9,8% - муниципальной, 3,4% - федеральной, 1,7% - окружной, 6,0% - общественных и религиозных организаций, 0,5% - иностранной.</w:t>
      </w:r>
    </w:p>
    <w:p w:rsidR="00AF4B45" w:rsidRPr="00AF4B45" w:rsidRDefault="00AF4B45" w:rsidP="00AF4B45">
      <w:pPr>
        <w:pStyle w:val="a3"/>
        <w:jc w:val="center"/>
      </w:pPr>
      <w:r w:rsidRPr="00AF4B45">
        <w:rPr>
          <w:b/>
          <w:bCs/>
        </w:rPr>
        <w:t>Промышленность</w:t>
      </w:r>
    </w:p>
    <w:p w:rsidR="00AF4B45" w:rsidRPr="00AF4B45" w:rsidRDefault="00AF4B45" w:rsidP="00AF4B45">
      <w:pPr>
        <w:pStyle w:val="a3"/>
        <w:jc w:val="both"/>
      </w:pPr>
      <w:r w:rsidRPr="00AF4B45">
        <w:t xml:space="preserve">По данным Единого государственного регистра предприятий и организаций, число учтенных промышленных организаций всех форм собственности на 1 января 2003 года в автономном округе составило 840 предприятия или 8,2% от общего числа хозяйствующих объектов. </w:t>
      </w:r>
    </w:p>
    <w:p w:rsidR="00AF4B45" w:rsidRPr="00AF4B45" w:rsidRDefault="00AF4B45" w:rsidP="00AF4B45">
      <w:pPr>
        <w:pStyle w:val="a3"/>
        <w:jc w:val="both"/>
      </w:pPr>
      <w:r w:rsidRPr="00AF4B45">
        <w:t xml:space="preserve">За 2002 год промышленными предприятиями автономного округа произведено продукции и оказано услуг в действующих ценах на 164,7 млрд. рублей. Индекс физического объема относительно 2001 года составил 107,3%. В общем объеме промышленного производства доля крупных и средних предприятий составила 98 процентов. </w:t>
      </w:r>
    </w:p>
    <w:p w:rsidR="00AF4B45" w:rsidRPr="00AF4B45" w:rsidRDefault="00DE0D70" w:rsidP="00AF4B45">
      <w:pPr>
        <w:pStyle w:val="a3"/>
        <w:jc w:val="both"/>
      </w:pPr>
      <w:r>
        <w:rPr>
          <w:noProof/>
        </w:rPr>
        <w:pict>
          <v:shape id="_x0000_s1028" type="#_x0000_t75" style="position:absolute;left:0;text-align:left;margin-left:0;margin-top:5.6pt;width:325.65pt;height:244.45pt;z-index:-251661824" wrapcoords="149 331 149 21202 21351 21202 21351 331 149 331">
            <v:imagedata r:id="rId8" o:title="03"/>
            <w10:wrap type="tight"/>
          </v:shape>
        </w:pict>
      </w:r>
      <w:r w:rsidR="00AF4B45" w:rsidRPr="00AF4B45">
        <w:t xml:space="preserve">Рост промышленного производства в сопоставимых ценах отмечен в следующих городах и районах автономного округа: г. Надым и Надымский район (147,5%), г. Салехард (144,4%), Пуровский район (132,9%), Приуральский район (124,1%), г. Ноябрьск (119,0%), Тазовский район (113,3%), Ямальский район (109,4%). </w:t>
      </w:r>
    </w:p>
    <w:p w:rsidR="00AF4B45" w:rsidRPr="00AF4B45" w:rsidRDefault="00DE0D70" w:rsidP="00AF4B45">
      <w:pPr>
        <w:pStyle w:val="a3"/>
        <w:jc w:val="both"/>
      </w:pPr>
      <w:r>
        <w:rPr>
          <w:noProof/>
        </w:rPr>
        <w:pict>
          <v:shape id="_x0000_s1029" type="#_x0000_t75" style="position:absolute;left:0;text-align:left;margin-left:-204.9pt;margin-top:94.85pt;width:349.1pt;height:247pt;z-index:-251660800" wrapcoords="139 328 139 21206 21368 21206 21368 328 139 328">
            <v:imagedata r:id="rId9" o:title="04"/>
            <w10:wrap type="tight"/>
          </v:shape>
        </w:pict>
      </w:r>
      <w:r w:rsidR="00AF4B45" w:rsidRPr="00AF4B45">
        <w:t xml:space="preserve">Рост производства в топливной промышленности относительно 2001 года составил 108,2%, что обусловлено увеличением объемов добычи нефти и газа. На 1 января 2003 года в нефтедобывающей отрасли насчитывалось 14 предприятий с численностью промышленного персонала более 32,3 тыс. человек. Добыто нефти 36,4 млн. тонн, что на 19,1% больше уровня 2001 года. Прирост добычи нефти обеспечен за счет внедрения новых современных технологий в области бурения добывающих скважин, методов первичного и вторичного вскрытия пластов, сокращения бездействующего фонда. </w:t>
      </w:r>
    </w:p>
    <w:p w:rsidR="00AF4B45" w:rsidRPr="00AF4B45" w:rsidRDefault="00AF4B45" w:rsidP="00AF4B45">
      <w:pPr>
        <w:pStyle w:val="a3"/>
        <w:jc w:val="both"/>
      </w:pPr>
      <w:r w:rsidRPr="00AF4B45">
        <w:t xml:space="preserve">На 1 января 2003 года в газовой отрасли насчитывалось 11 предприятий с численностью промышленного персонала более 44,1 тыс. человек. Добыча природного газа составила 523,5 млрд. куб. м. Прирост добычи газа относительно 2001 года -2,9 процента. </w:t>
      </w:r>
    </w:p>
    <w:p w:rsidR="00AF4B45" w:rsidRPr="00AF4B45" w:rsidRDefault="00AF4B45" w:rsidP="00AF4B45">
      <w:pPr>
        <w:pStyle w:val="a3"/>
        <w:jc w:val="both"/>
      </w:pPr>
      <w:r w:rsidRPr="00AF4B45">
        <w:t xml:space="preserve">Ямало-Ненецкий автономный округ является основной базой страны по добыче газа. Предприятия ОАО "Газпром": ООО "Уренгойгазпром", ООО "Ямбургаздобыча", ООО "Надымгазпром", ООО "Ноябрьскгаздобыча" осуществляют около 90% добычи газа в автономном округе, около 70% добычи газового конденсата, 14% добычи нефти. Кроме того, добычу газа ведут независимые производители ЗАО "Пургаз", ОАО "Норильскгазпром", ОАО НК "Таркосаленефтегаз", ОАО "Пурнефтегазгеология", ЗАО "Нортгаз" и др. По итогам 2002 года добыча газа по ним составила более 50,0 млрд.куб.м (около 10% добычи газа в автономном округе). </w:t>
      </w:r>
    </w:p>
    <w:p w:rsidR="00AF4B45" w:rsidRPr="00AF4B45" w:rsidRDefault="00AF4B45" w:rsidP="00AF4B45">
      <w:pPr>
        <w:pStyle w:val="a3"/>
        <w:jc w:val="both"/>
      </w:pPr>
      <w:r w:rsidRPr="00AF4B45">
        <w:t xml:space="preserve">У независимых производителей газа имеется значительный потенциал, их разведанные запасы газа составляют более 5,0 трлн.куб.м газа, сотни миллионов тонн нефти и газового конденсата. </w:t>
      </w:r>
    </w:p>
    <w:p w:rsidR="00AF4B45" w:rsidRPr="00AF4B45" w:rsidRDefault="00AF4B45" w:rsidP="00AF4B45">
      <w:pPr>
        <w:pStyle w:val="a3"/>
        <w:jc w:val="both"/>
      </w:pPr>
      <w:r w:rsidRPr="00AF4B45">
        <w:t xml:space="preserve">За 2002 год пробурено свыше 88 тысяч погонных метров поисковых и разведочных скважин, что составляет 58,4% от метража заложенного в Территориальной программе (151001 пог. м), испытано 133 объекта, в результате чего открыто 3 новых месторождения и 6 новых залежей углеводородного сырья. </w:t>
      </w:r>
    </w:p>
    <w:p w:rsidR="00AF4B45" w:rsidRPr="00AF4B45" w:rsidRDefault="00AF4B45" w:rsidP="00AF4B45">
      <w:pPr>
        <w:pStyle w:val="a3"/>
        <w:jc w:val="both"/>
      </w:pPr>
      <w:r w:rsidRPr="00AF4B45">
        <w:t xml:space="preserve">Среди других отраслей промышленности автономного округа отмечен спад производства строительных материалов на 8,0%, который обусловлен снижением спроса на отдельные виды продукции стройиндустрии. </w:t>
      </w:r>
    </w:p>
    <w:p w:rsidR="00AF4B45" w:rsidRPr="00AF4B45" w:rsidRDefault="00AF4B45" w:rsidP="00AF4B45">
      <w:pPr>
        <w:pStyle w:val="a3"/>
        <w:jc w:val="both"/>
      </w:pPr>
      <w:r w:rsidRPr="00AF4B45">
        <w:t xml:space="preserve">В отраслях пищевой промышленности в 2002 году увеличилось производство товарной пищевой рыбопродукции на 12,0%, хлеба и хлебобулочных изделий на 2,4 процента. </w:t>
      </w:r>
    </w:p>
    <w:p w:rsidR="00AF4B45" w:rsidRPr="00AF4B45" w:rsidRDefault="00AF4B45" w:rsidP="00AF4B45">
      <w:pPr>
        <w:pStyle w:val="a3"/>
        <w:jc w:val="center"/>
      </w:pPr>
      <w:r w:rsidRPr="00AF4B45">
        <w:rPr>
          <w:b/>
          <w:bCs/>
        </w:rPr>
        <w:t>Инвестиции и капитальное строительство</w:t>
      </w:r>
    </w:p>
    <w:p w:rsidR="00AF4B45" w:rsidRPr="00AF4B45" w:rsidRDefault="00AF4B45" w:rsidP="00AF4B45">
      <w:pPr>
        <w:pStyle w:val="a3"/>
        <w:jc w:val="both"/>
      </w:pPr>
      <w:r w:rsidRPr="00AF4B45">
        <w:t xml:space="preserve">В 2002 году предприятиями и организациями всех форм собственности инвестировано в реальный сектор экономики автономного округа по предварительной оценке 122,4 млрд. рублей, что в сопоставимых ценах составляет 102,5% к объему инвестиций 2001 года. Удельный вес инвестиций за счет средств консолидированного бюджета автономного округа в общем объеме составляет 6,9 % (8,6 млрд. рублей), в том числе окружного бюджета - 4,6% (5,6 млрд. рублей), местных бюджетов - 2,3%(3,0 млрд. рублей). </w:t>
      </w:r>
    </w:p>
    <w:p w:rsidR="00AF4B45" w:rsidRPr="00AF4B45" w:rsidRDefault="00AF4B45" w:rsidP="00AF4B45">
      <w:pPr>
        <w:pStyle w:val="a3"/>
        <w:jc w:val="both"/>
      </w:pPr>
      <w:r w:rsidRPr="00AF4B45">
        <w:t xml:space="preserve">Строительный комплекс округа в последние годы является одной из динамично развивающейся отраслью экономики автономного округа, объединяющей около 2900 предприятий и организаций различных форм собственности (28,1% от числа учтенных предприятий и организаций в автономном округе) и около 60 тысяч человек работников (18% экономически активного населения). </w:t>
      </w:r>
    </w:p>
    <w:p w:rsidR="00AF4B45" w:rsidRPr="00AF4B45" w:rsidRDefault="00AF4B45" w:rsidP="00AF4B45">
      <w:pPr>
        <w:pStyle w:val="a3"/>
        <w:jc w:val="both"/>
      </w:pPr>
      <w:r w:rsidRPr="00AF4B45">
        <w:t xml:space="preserve">Положительные тенденции в строительстве сложились за счет инвестиционной активности предприятий топливно-энергетического комплекса в связи с активизацией работ по освоению месторождений на территории автономного округа. </w:t>
      </w:r>
    </w:p>
    <w:p w:rsidR="00AF4B45" w:rsidRPr="00AF4B45" w:rsidRDefault="00AF4B45" w:rsidP="00AF4B45">
      <w:pPr>
        <w:pStyle w:val="a3"/>
        <w:jc w:val="both"/>
      </w:pPr>
      <w:r w:rsidRPr="00AF4B45">
        <w:t xml:space="preserve">Рост инвестиций в основной капитал обусловил увеличение объемов работ подрядными организациями. В 2002 году на территории автономного округа предприятиями и организациями всех форм собственности выполнено строительно-монтажных работ собственными силами подрядных организаций на 38,7 млрд. рублей, что составляет 110,0 % к уровню 2001 года. Значительный рост объемов строительно-монтажных работ, выполненных подрядным способом, отмечен в: г. Губкинский (7 раз), Приуральском районе (4,4 раза), Красноселькупском районе (173,0%). г. Муравленко (140,6%), г. Новый Уренгой (124,2%), г. Надым (121,6%). </w:t>
      </w:r>
    </w:p>
    <w:p w:rsidR="00AF4B45" w:rsidRPr="00AF4B45" w:rsidRDefault="00AF4B45" w:rsidP="00AF4B45">
      <w:pPr>
        <w:pStyle w:val="a3"/>
        <w:jc w:val="both"/>
      </w:pPr>
      <w:r w:rsidRPr="00AF4B45">
        <w:t xml:space="preserve">За счет средств окружного и территориальных бюджетов автономного округа инвестировано в основной капитал 8,6 млрд. рублей, что составляет 105,2 % к запланированному годовому объему. Из них, за счет средств окружного бюджета - 5,6 млрд. рублей или 98,0% к утвержденному годовому объему. Основная часть инвестиций за счет средств окружного бюджета направляется на строительство объектов жилья, образования, коммунального назначения. </w:t>
      </w:r>
    </w:p>
    <w:p w:rsidR="00AF4B45" w:rsidRPr="00AF4B45" w:rsidRDefault="00AF4B45" w:rsidP="00AF4B45">
      <w:pPr>
        <w:pStyle w:val="a3"/>
        <w:jc w:val="both"/>
      </w:pPr>
      <w:r w:rsidRPr="00AF4B45">
        <w:t xml:space="preserve">В 2002 году введена 341 единица нефтяных скважин, 18 км радиорелейных линий связи, 64,5 км автомобильных дорог с твердым покрытием и ряд других объектов производственного и непроизводственного назначения. </w:t>
      </w:r>
    </w:p>
    <w:p w:rsidR="00AF4B45" w:rsidRPr="00AF4B45" w:rsidRDefault="00AF4B45" w:rsidP="00AF4B45">
      <w:pPr>
        <w:pStyle w:val="a3"/>
        <w:jc w:val="both"/>
      </w:pPr>
      <w:r w:rsidRPr="00AF4B45">
        <w:t xml:space="preserve">В течение 2002 года предприятиями и организациями всех форм собственности за счет всех источников финансирования сдано 156,1 тыс. кв. м жилья, из них доля г. Салехарда составляет 55% (85,6 тыс. кв. м.). Введены в эксплуатацию две школы общей мощностью 1465 мест (п. Яр-Сале, п. Пурпе), музыкальная школа в п. Тазовском, школа искусств в г. Лабытнанги, лечебно-административный корпус (первая очередь) площадью 2139 кв. м кружного дома ветеранов (п. Харп), ГТЭС-3 (первый пусковой комплекс) мощностью 24 мВт (г. Салехард), музейно-выставочный комплекс (г. Салехард), общежитие санаторно-лесной школы (г. Салехард), дворец бракосочетания (г. Салехард), пункт автобусных касс (г. Надым), станция спутниковой связи (г. Надым), автовокзал с трансагенством (г. Муравленко), спальный корпус на 100 мест (п. Салемал), котельная (п. Аксарка), пождепо (п. Уренгой, п. Пурпе), детский дом семейного типа на 100 мест (п. Кировский Тюменской обл.). </w:t>
      </w:r>
    </w:p>
    <w:p w:rsidR="00AF4B45" w:rsidRPr="00AF4B45" w:rsidRDefault="00AF4B45" w:rsidP="00AF4B45">
      <w:pPr>
        <w:pStyle w:val="a3"/>
        <w:jc w:val="both"/>
      </w:pPr>
      <w:r w:rsidRPr="00AF4B45">
        <w:t>Объем привлечения иностранных инвестиций в экономику автономного округа за 2002 год по предварительной оценке составил 120 млн. долл. США, что на 63,9% больше уровня 2001 года. Приток иностранных инвестиций происходил в виде прямых инвестиций в сферу добычи нефти и газа.</w:t>
      </w:r>
    </w:p>
    <w:p w:rsidR="00AF4B45" w:rsidRPr="00AF4B45" w:rsidRDefault="00AF4B45" w:rsidP="00AF4B45">
      <w:pPr>
        <w:pStyle w:val="a3"/>
        <w:jc w:val="center"/>
      </w:pPr>
      <w:r w:rsidRPr="00AF4B45">
        <w:rPr>
          <w:b/>
          <w:bCs/>
        </w:rPr>
        <w:t>Агропромышленный комплекс</w:t>
      </w:r>
    </w:p>
    <w:p w:rsidR="00AF4B45" w:rsidRPr="00AF4B45" w:rsidRDefault="00DE0D70" w:rsidP="00AF4B45">
      <w:pPr>
        <w:pStyle w:val="a3"/>
        <w:jc w:val="both"/>
      </w:pPr>
      <w:r>
        <w:rPr>
          <w:noProof/>
        </w:rPr>
        <w:pict>
          <v:shape id="_x0000_s1030" type="#_x0000_t75" style="position:absolute;left:0;text-align:left;margin-left:135pt;margin-top:4.45pt;width:335.1pt;height:225pt;z-index:-251659776" wrapcoords="117 293 117 21249 21405 21249 21405 293 117 293">
            <v:imagedata r:id="rId10" o:title="05"/>
            <w10:wrap type="tight"/>
          </v:shape>
        </w:pict>
      </w:r>
      <w:r w:rsidR="00AF4B45" w:rsidRPr="00AF4B45">
        <w:t xml:space="preserve">Агропромышленный комплекс автономного округа представлен сельскохозяйственными, рыбодобывающими и перерабатывающими предприятиями, общинами коренных малочисленных народов Севера, крестьянскими (фермерскими) хозяйствами, предпринимателями без образования юридического лица и частными хозяйствами населения. </w:t>
      </w:r>
    </w:p>
    <w:p w:rsidR="00AF4B45" w:rsidRPr="00AF4B45" w:rsidRDefault="00AF4B45" w:rsidP="00AF4B45">
      <w:pPr>
        <w:pStyle w:val="a3"/>
        <w:jc w:val="both"/>
      </w:pPr>
      <w:r w:rsidRPr="00AF4B45">
        <w:t xml:space="preserve">Основной отраслью сельскохозяйственного производства на территории автономного округа продолжает оставаться оленеводство. В Ямало-Ненецком автономном округе сохранено самое большое стадо оленей в России - более 500 тыс. голов. Существенное значение на показатели в оленеводстве оказывает состояние оленьих пастбищ. Данная проблема остро стоит в Ямальском и Тазовском районах, где сосредоточено около 70% всего поголовье оленей. </w:t>
      </w:r>
    </w:p>
    <w:p w:rsidR="00AF4B45" w:rsidRPr="00AF4B45" w:rsidRDefault="00AF4B45" w:rsidP="00AF4B45">
      <w:pPr>
        <w:pStyle w:val="a3"/>
        <w:jc w:val="both"/>
      </w:pPr>
      <w:r w:rsidRPr="00AF4B45">
        <w:t xml:space="preserve">В 2002 году объём продукции сельского хозяйства (без заготовки кормов и пантов) составил 228,7 млн. рублей и уменьшился в сопоставимых ценах на 6,6% по сравнению с 2001 годом. За 2002 год хозяйствами всех категорий произведено мяса скота и птицы (в живом весе) 4716,0 тонн, молока - 2698,0 тонн, яиц - 218,0 тыс. штук, что составило 91,0%, 95,7% и 60,1% соответственно к уровню 2001 года. </w:t>
      </w:r>
    </w:p>
    <w:p w:rsidR="00AF4B45" w:rsidRPr="00AF4B45" w:rsidRDefault="00AF4B45" w:rsidP="00AF4B45">
      <w:pPr>
        <w:pStyle w:val="a3"/>
        <w:jc w:val="both"/>
      </w:pPr>
      <w:r w:rsidRPr="00AF4B45">
        <w:t xml:space="preserve">Уменьшение объемов производства мяса скота и птицы связано с увеличением маточного поголовья в оленеводстве для дальнейшего воспроизводства стада, а также неблагоприятными природно-климатическими условиями 2002 год при заготовке грубых кормов. </w:t>
      </w:r>
    </w:p>
    <w:p w:rsidR="00AF4B45" w:rsidRPr="00AF4B45" w:rsidRDefault="00AF4B45" w:rsidP="00AF4B45">
      <w:pPr>
        <w:pStyle w:val="a3"/>
        <w:jc w:val="center"/>
      </w:pPr>
      <w:r w:rsidRPr="00AF4B45">
        <w:rPr>
          <w:b/>
          <w:bCs/>
        </w:rPr>
        <w:t>Торговля и платные услуги</w:t>
      </w:r>
    </w:p>
    <w:p w:rsidR="00AF4B45" w:rsidRPr="00AF4B45" w:rsidRDefault="00AF4B45" w:rsidP="00AF4B45">
      <w:pPr>
        <w:pStyle w:val="a3"/>
        <w:jc w:val="both"/>
      </w:pPr>
      <w:r w:rsidRPr="00AF4B45">
        <w:t xml:space="preserve">По состоянию на 1 января 2003 года на территории автономного округа насчитывалось 2256 предприятий торговли и общественного питания или 22,8% от общей численности учтенных хозяйствующих субъектов. Осуществляют деятельность 29 предприятий оптовой торговли, производящих закупку, хранение и реализацию алкогольной и спиртосодержащей продукции. </w:t>
      </w:r>
    </w:p>
    <w:p w:rsidR="00AF4B45" w:rsidRPr="00AF4B45" w:rsidRDefault="00AF4B45" w:rsidP="00AF4B45">
      <w:pPr>
        <w:pStyle w:val="a3"/>
        <w:jc w:val="both"/>
      </w:pPr>
      <w:r w:rsidRPr="00AF4B45">
        <w:t xml:space="preserve">Оборот розничной торговли за 2002 год составил 22,1 млрд. рублей. В физическом объеме оборот розничной торговли увеличился на 11,3 процента. </w:t>
      </w:r>
    </w:p>
    <w:p w:rsidR="00AF4B45" w:rsidRPr="00AF4B45" w:rsidRDefault="00AF4B45" w:rsidP="00AF4B45">
      <w:pPr>
        <w:pStyle w:val="a3"/>
        <w:jc w:val="both"/>
      </w:pPr>
      <w:r w:rsidRPr="00AF4B45">
        <w:t xml:space="preserve">Тенденция роста сопровождается дальнейшим улучшением структуры товарооборота, расширением и обновлением ассортимента, повышением качества товаров. В тоже время в сельских населенных пунктах разнообразие и качество товаров остаются на низком уровне. Это связано с отсутствием оборотных средств у организаций, осуществляющих снабжение этих населенных пунктов, низкой оборачиваемостью товаров, отсутствием конкуренции. </w:t>
      </w:r>
    </w:p>
    <w:p w:rsidR="00AF4B45" w:rsidRPr="00AF4B45" w:rsidRDefault="00AF4B45" w:rsidP="00AF4B45">
      <w:pPr>
        <w:pStyle w:val="a3"/>
        <w:jc w:val="both"/>
      </w:pPr>
      <w:r w:rsidRPr="00AF4B45">
        <w:t xml:space="preserve">В структуре оборота розничной торговли удельный вес продовольственных товаров в 2002году составил 48,0%, непродовольственных - 52,0% ( в 2001 году, соответственно 48,9% и 51,1%). </w:t>
      </w:r>
    </w:p>
    <w:p w:rsidR="00AF4B45" w:rsidRPr="00AF4B45" w:rsidRDefault="00AF4B45" w:rsidP="00AF4B45">
      <w:pPr>
        <w:pStyle w:val="a3"/>
        <w:jc w:val="both"/>
      </w:pPr>
      <w:r w:rsidRPr="00AF4B45">
        <w:t xml:space="preserve">За 2002 год на потребительском рынке реализовано алкогольных напитков и пива на 3,9 млрд. рублей или 117,5% к уровню соответствующего периода предыдущего года. Удельный вес продажи алкогольной продукции в обороте розничной торговли составил 17,7% (в 2001 году - 14,6%). </w:t>
      </w:r>
    </w:p>
    <w:p w:rsidR="00AF4B45" w:rsidRPr="00AF4B45" w:rsidRDefault="00AF4B45" w:rsidP="00AF4B45">
      <w:pPr>
        <w:pStyle w:val="a3"/>
        <w:jc w:val="both"/>
      </w:pPr>
      <w:r w:rsidRPr="00AF4B45">
        <w:t xml:space="preserve">Предприятиями общественного питания реализовано продукции на 2,3 млрд. рублей, что в сопоставимых ценах выше уровня 2001 года на 19,4 процента. </w:t>
      </w:r>
    </w:p>
    <w:p w:rsidR="00AF4B45" w:rsidRPr="00AF4B45" w:rsidRDefault="00AF4B45" w:rsidP="00AF4B45">
      <w:pPr>
        <w:pStyle w:val="a3"/>
        <w:jc w:val="both"/>
      </w:pPr>
      <w:r w:rsidRPr="00AF4B45">
        <w:t xml:space="preserve">Населению автономного округа оказано платных услуг на сумму 6,7 млрд. рублей. </w:t>
      </w:r>
    </w:p>
    <w:p w:rsidR="00AF4B45" w:rsidRPr="00AF4B45" w:rsidRDefault="00AF4B45" w:rsidP="00AF4B45">
      <w:pPr>
        <w:pStyle w:val="a3"/>
        <w:jc w:val="both"/>
      </w:pPr>
      <w:r w:rsidRPr="00AF4B45">
        <w:t xml:space="preserve">В структуре платных услуг населению автономного округа наибольший удельный вес занимают жилищно-коммунальные услуги (35,6%), услуги пассажирского транспорта (33,7%), услуги связи (16,9%). Наиболее высокие темпы роста объемов в фактических ценах за 2002 год отмечены на услуги пассажирского транспорта (2 раза), жилищные (180,1%) и коммунальные услуги (186,2%). </w:t>
      </w:r>
    </w:p>
    <w:p w:rsidR="00AF4B45" w:rsidRPr="00AF4B45" w:rsidRDefault="00AF4B45" w:rsidP="00AF4B45">
      <w:pPr>
        <w:pStyle w:val="a3"/>
        <w:jc w:val="both"/>
      </w:pPr>
      <w:r w:rsidRPr="00AF4B45">
        <w:t>Объем бытовых услуг, оказанных за 2002 года, составил 283,7 млн. руб., удельный вес в общем объеме платных услуг - 4,2%. Наибольший удельный вес в структуре бытовых услуг занимает ремонт и строительство жилья и других построек - 42,6%.</w:t>
      </w:r>
    </w:p>
    <w:p w:rsidR="00AF4B45" w:rsidRPr="00AF4B45" w:rsidRDefault="00AF4B45" w:rsidP="00AF4B45">
      <w:pPr>
        <w:pStyle w:val="a3"/>
        <w:jc w:val="center"/>
      </w:pPr>
      <w:r w:rsidRPr="00AF4B45">
        <w:rPr>
          <w:b/>
          <w:bCs/>
        </w:rPr>
        <w:t>Транспорт и дорожное хозяйство</w:t>
      </w:r>
    </w:p>
    <w:p w:rsidR="00AF4B45" w:rsidRPr="00AF4B45" w:rsidRDefault="00AF4B45" w:rsidP="00AF4B45">
      <w:pPr>
        <w:pStyle w:val="a3"/>
        <w:jc w:val="both"/>
      </w:pPr>
      <w:r w:rsidRPr="00AF4B45">
        <w:rPr>
          <w:b/>
          <w:bCs/>
        </w:rPr>
        <w:t>Воздушный транспорт</w:t>
      </w:r>
    </w:p>
    <w:p w:rsidR="00AF4B45" w:rsidRPr="00AF4B45" w:rsidRDefault="00AF4B45" w:rsidP="00AF4B45">
      <w:pPr>
        <w:pStyle w:val="a3"/>
        <w:jc w:val="both"/>
      </w:pPr>
      <w:r w:rsidRPr="00AF4B45">
        <w:t xml:space="preserve">Воздушный транспорт на территории автономного округа представлен: </w:t>
      </w:r>
    </w:p>
    <w:p w:rsidR="00AF4B45" w:rsidRPr="00AF4B45" w:rsidRDefault="00AF4B45" w:rsidP="00AF4B45">
      <w:pPr>
        <w:pStyle w:val="a3"/>
        <w:jc w:val="both"/>
      </w:pPr>
      <w:r w:rsidRPr="00AF4B45">
        <w:t xml:space="preserve">- 14 авиакомпаниями (две - зарегистрированы на территории автономного округа), осуществляющими более рейсов 40 в различные населенные пункты автономного округа и 44 за его пределы; </w:t>
      </w:r>
    </w:p>
    <w:p w:rsidR="00AF4B45" w:rsidRPr="00AF4B45" w:rsidRDefault="00AF4B45" w:rsidP="00AF4B45">
      <w:pPr>
        <w:pStyle w:val="a3"/>
        <w:jc w:val="both"/>
      </w:pPr>
      <w:r w:rsidRPr="00AF4B45">
        <w:t xml:space="preserve">- 21 аэропортом, 10 из которых имею взлетно-посадочную полосу, остальные посадочные площадки, находящихся в эксплуатации 7 различных предприятий и их филиалов; </w:t>
      </w:r>
    </w:p>
    <w:p w:rsidR="00AF4B45" w:rsidRPr="00AF4B45" w:rsidRDefault="00AF4B45" w:rsidP="00AF4B45">
      <w:pPr>
        <w:pStyle w:val="a3"/>
        <w:jc w:val="both"/>
      </w:pPr>
      <w:r w:rsidRPr="00AF4B45">
        <w:t xml:space="preserve">- 22 посадочными площадками, не имеющих статуса аэропорта, находящихся в поселках автономного округа; </w:t>
      </w:r>
    </w:p>
    <w:p w:rsidR="00AF4B45" w:rsidRPr="00AF4B45" w:rsidRDefault="00AF4B45" w:rsidP="00AF4B45">
      <w:pPr>
        <w:pStyle w:val="a3"/>
        <w:jc w:val="both"/>
      </w:pPr>
      <w:r w:rsidRPr="00AF4B45">
        <w:t xml:space="preserve">- филиалами и отделениями ФГУП "Тюменьаэроконтроль", расположенных практически во всех аэропортах автономного округа. </w:t>
      </w:r>
    </w:p>
    <w:p w:rsidR="00AF4B45" w:rsidRPr="00AF4B45" w:rsidRDefault="00AF4B45" w:rsidP="00AF4B45">
      <w:pPr>
        <w:pStyle w:val="a3"/>
        <w:jc w:val="both"/>
      </w:pPr>
      <w:r w:rsidRPr="00AF4B45">
        <w:t xml:space="preserve">В течение 2002 года авиационным транспортом перевезено 537,5 тыс. пассажиров, 241,3 тонн почты и 1161,4 тонн груза. Объемы перевозок пассажиров и почты в 2002 году увеличились по сравнению с 2001 годом на 4% и 8 % соответственно, по грузовым перевозкам произошло снижение на 45%, что обусловлено, прежде всего, увеличением тарифов на перевозку воздушным транспортом. Так, летный час вертолета составляет в среднем от 20 до 25 тыс. рублей. В 2003 году прогнозируется повышение тарифов на авиаперевозки на 15-20%. В структуре себестоимости авиатарифов значительную часть, до 25%, составляют аэропортовые услуги, величину которых контролируют федеральные органы власти. В течение 2002 года тарифы на аэропортовые услуги выросли в среднем от 1,5 до 2 раз. </w:t>
      </w:r>
    </w:p>
    <w:p w:rsidR="00AF4B45" w:rsidRPr="00AF4B45" w:rsidRDefault="00AF4B45" w:rsidP="00AF4B45">
      <w:pPr>
        <w:pStyle w:val="a3"/>
        <w:jc w:val="both"/>
      </w:pPr>
      <w:r w:rsidRPr="00AF4B45">
        <w:t xml:space="preserve">На развитие воздушного транспорта из окружного бюджета в 2002 году направлено 72,5 млн. рублей, в том числе на инвестиции - 8,0 млн. рублей, на субсидии - 64,5 млн. рублей. Законом об окружном бюджете автономного округа на 2003 год запланированы расходы на развитие воздушного транспорта в сумме 17,0 млн. рублей, государственная поддержка - 96,0 млн. рублей, в том числе расходы на покрытие убытков образующихся от перевозки пассажиров по регулируемым ценам - 60,0 млн. рублей </w:t>
      </w:r>
    </w:p>
    <w:p w:rsidR="00AF4B45" w:rsidRPr="00AF4B45" w:rsidRDefault="00AF4B45" w:rsidP="00AF4B45">
      <w:pPr>
        <w:pStyle w:val="a3"/>
        <w:jc w:val="both"/>
      </w:pPr>
      <w:r w:rsidRPr="00AF4B45">
        <w:rPr>
          <w:b/>
          <w:bCs/>
        </w:rPr>
        <w:t>Железнодорожный транспорт</w:t>
      </w:r>
      <w:r w:rsidRPr="00AF4B45">
        <w:t xml:space="preserve"> </w:t>
      </w:r>
    </w:p>
    <w:p w:rsidR="00AF4B45" w:rsidRPr="00AF4B45" w:rsidRDefault="00AF4B45" w:rsidP="00AF4B45">
      <w:pPr>
        <w:pStyle w:val="a3"/>
        <w:jc w:val="both"/>
      </w:pPr>
      <w:r w:rsidRPr="00AF4B45">
        <w:t xml:space="preserve">Железнодорожные перевозки на территории автономного округа осуществляются Сургутским отделением ФГУП "Свердловская ЖД", Сосногорским отделением ФГУП "Северной ЖД", а также ОАО "Севтюменьтранспуть" и ОАО "Надымское предприятие железнодорожного транспорта". Указанными предприятиями в 2002 году перевезено: </w:t>
      </w:r>
    </w:p>
    <w:p w:rsidR="00AF4B45" w:rsidRPr="00AF4B45" w:rsidRDefault="00AF4B45" w:rsidP="00AF4B45">
      <w:pPr>
        <w:pStyle w:val="a3"/>
        <w:jc w:val="both"/>
      </w:pPr>
      <w:r w:rsidRPr="00AF4B45">
        <w:t xml:space="preserve">- грузов 12165 тыс. тонн, что на 7% больше чем в 2001 году; </w:t>
      </w:r>
    </w:p>
    <w:p w:rsidR="00AF4B45" w:rsidRPr="00AF4B45" w:rsidRDefault="00AF4B45" w:rsidP="00AF4B45">
      <w:pPr>
        <w:pStyle w:val="a3"/>
        <w:jc w:val="both"/>
      </w:pPr>
      <w:r w:rsidRPr="00AF4B45">
        <w:t xml:space="preserve">- пассажиров 806,9 тыс. чел., что меньше 2001 года на 146,9 тыс. чел. или 18%; основное снижение произошло по направлению Свердловской железной дороги. </w:t>
      </w:r>
    </w:p>
    <w:p w:rsidR="00AF4B45" w:rsidRPr="00AF4B45" w:rsidRDefault="00AF4B45" w:rsidP="00AF4B45">
      <w:pPr>
        <w:pStyle w:val="a3"/>
        <w:jc w:val="both"/>
      </w:pPr>
      <w:r w:rsidRPr="00AF4B45">
        <w:t xml:space="preserve">Длина железнодорожных путей, находящихся на территории автономного округа и принадлежащих МПС, составляет 495 км, принадлежащих акционерным обществам, - 585 км, с учетом построенной части дороги "Обская-Бованенково". На сегодняшний день железнодорожная сеть автономного округа находится в неудовлетворительном состоянии. На капитальные ремонт отдельных участков дорог требуется 12,5 млрд. рублей </w:t>
      </w:r>
    </w:p>
    <w:p w:rsidR="00AF4B45" w:rsidRPr="00AF4B45" w:rsidRDefault="00AF4B45" w:rsidP="00AF4B45">
      <w:pPr>
        <w:pStyle w:val="a3"/>
        <w:jc w:val="both"/>
      </w:pPr>
      <w:r w:rsidRPr="00AF4B45">
        <w:t xml:space="preserve">Администрацией автономного округа оказывается ежегодная поддержка железнодорожного транспорта в виде финансирования ремонта участков дорог на отрезке "Чум-Лабытнанги", "Короточаево-Новый Уренгой" и приобретения спецтехники. В 2002 году на эти цели израсходовано 39,0 млн. рублей, столько же запланировано на 2003 год. Однако, чтобы привести дороги в надлежащее состояние, таких объемов крайне не достаточно. Необходимо объединение в единый консорциум по ремонту и строительству железных дорог всех заинтересованных лиц: федеральных органов, нефтегазодобывающих предприятий и администрации автономного округа. </w:t>
      </w:r>
    </w:p>
    <w:p w:rsidR="00AF4B45" w:rsidRPr="00AF4B45" w:rsidRDefault="00AF4B45" w:rsidP="00AF4B45">
      <w:pPr>
        <w:pStyle w:val="a3"/>
        <w:jc w:val="both"/>
      </w:pPr>
      <w:r w:rsidRPr="00AF4B45">
        <w:rPr>
          <w:b/>
          <w:bCs/>
        </w:rPr>
        <w:t>Речной транспорт</w:t>
      </w:r>
      <w:r w:rsidRPr="00AF4B45">
        <w:t xml:space="preserve"> </w:t>
      </w:r>
    </w:p>
    <w:p w:rsidR="00AF4B45" w:rsidRPr="00AF4B45" w:rsidRDefault="00AF4B45" w:rsidP="00AF4B45">
      <w:pPr>
        <w:pStyle w:val="a3"/>
        <w:jc w:val="both"/>
      </w:pPr>
      <w:r w:rsidRPr="00AF4B45">
        <w:t xml:space="preserve">В автономном округе находятся в эксплуатации 3661 км водных путей, на содержание которых в 2002 году использовано 20,5 млн. рублей. Основной грузо- и пассажирооборот осуществляется семью предприятиями речного транспорта, которыми за 2002 год перевезено 361,4 тыс. тонн грузов, 25,3 тыс. чел. пассажиров, объем погрузочно-разгрузочных работ составил 1196,0 тыс. тонн, что соответствует показателям 2001 года. </w:t>
      </w:r>
    </w:p>
    <w:p w:rsidR="00AF4B45" w:rsidRPr="00AF4B45" w:rsidRDefault="00AF4B45" w:rsidP="00AF4B45">
      <w:pPr>
        <w:pStyle w:val="a3"/>
        <w:jc w:val="both"/>
      </w:pPr>
      <w:r w:rsidRPr="00AF4B45">
        <w:t xml:space="preserve">По водным путям в течение навигации осуществляется основная часть Северного завоза в отдаленные и труднодоступные районы автономного округа горюче-смазочных материалов и товаров первой необходимости. </w:t>
      </w:r>
    </w:p>
    <w:p w:rsidR="00AF4B45" w:rsidRPr="00AF4B45" w:rsidRDefault="00AF4B45" w:rsidP="00AF4B45">
      <w:pPr>
        <w:pStyle w:val="a3"/>
        <w:jc w:val="both"/>
      </w:pPr>
      <w:r w:rsidRPr="00AF4B45">
        <w:t xml:space="preserve">Перевозка пассажиров речным транспортом в автономном округе осуществляется по государственным регулируемым ценам, в результате чего предприятиям, осуществляющим перевозку пассажиров, выплачиваются субсидии из средств окружного бюджета. В 2002 году выплачено 28,9 млн. рублей, столько же запланировано на 2003 год. Действующие пассажирские линии на магистрали реки Оби и Обской губе: Салехард - Яр-Сале, Ныда, Кутопьюган, Антипаюта; в южном направлении: Салехард - Березово, Омск. В течение навигации 2002 года действовала пассажирская линия Тарко-Сале - Самбург. </w:t>
      </w:r>
    </w:p>
    <w:p w:rsidR="00AF4B45" w:rsidRPr="00AF4B45" w:rsidRDefault="00AF4B45" w:rsidP="00AF4B45">
      <w:pPr>
        <w:pStyle w:val="a3"/>
        <w:jc w:val="both"/>
      </w:pPr>
      <w:r w:rsidRPr="00AF4B45">
        <w:rPr>
          <w:b/>
          <w:bCs/>
        </w:rPr>
        <w:t>Городской пассажирский автомобильный транспорт</w:t>
      </w:r>
      <w:r w:rsidRPr="00AF4B45">
        <w:t xml:space="preserve"> </w:t>
      </w:r>
    </w:p>
    <w:p w:rsidR="00AF4B45" w:rsidRPr="00AF4B45" w:rsidRDefault="00AF4B45" w:rsidP="00AF4B45">
      <w:pPr>
        <w:pStyle w:val="a3"/>
        <w:jc w:val="both"/>
      </w:pPr>
      <w:r w:rsidRPr="00AF4B45">
        <w:t xml:space="preserve">Городские пассажирские перевозки осуществляются семью автотранспортными предприятиями в пределах территорий городов автономного округа. За 2002 год ими перевезено 32,5 млн. пассажиров. Совокупный финансовый результат автотранспортных предприятий без дотаций бюджета составил 167,5 млн. рублей убытка. На покрытие убытков из бюджетов муниципальных образований направлено 175,2 млн. рублей </w:t>
      </w:r>
    </w:p>
    <w:p w:rsidR="00AF4B45" w:rsidRPr="00AF4B45" w:rsidRDefault="00AF4B45" w:rsidP="00AF4B45">
      <w:pPr>
        <w:pStyle w:val="a3"/>
        <w:jc w:val="both"/>
      </w:pPr>
      <w:r w:rsidRPr="00AF4B45">
        <w:t xml:space="preserve">В целях обновления автопарка из окружного бюджета ежегодно выделяются средства на приобретение новых автобусов, в 2002 году эта сумма составила 81,0 млн. рублей. На 2003 год запланировано приобретение 25 автобусов, на сумму 50,0 млн. рублей. Однако обновление автопарка не способствует решению проблемы убыточности автотранспортных предприятий и даже наоборот увеличивает себестоимость перевозок. В аварийном состоянии находятся производственные здания и сооружения, отсутствует или изношены инструменты и оборудование. Цены на проезд, при существующем уровне издержек автотранспортных предприятий, а также большая доля льготников, в отдельных городах доходящая до 60 процентов всех пассажиров, не обеспечивают окупаемости предприятий и тем более не учитывают инвестиционную составляющую, без которой старение производственных фондов будет продолжаться. Решением проблемы может быть демонополизация городских пассажирских перевозок, оказание целенаправленной государственной помощи субъектам малого предпринимательства на приобретение транспортных средств, а также частичная приватизация закрепленного за унитарными предприятиями автобусного парка, оптимизация частоты рейсов и издержек автотранспортных предприятий. </w:t>
      </w:r>
    </w:p>
    <w:p w:rsidR="00AF4B45" w:rsidRPr="00AF4B45" w:rsidRDefault="00AF4B45" w:rsidP="00AF4B45">
      <w:pPr>
        <w:pStyle w:val="a3"/>
        <w:jc w:val="center"/>
      </w:pPr>
      <w:r w:rsidRPr="00AF4B45">
        <w:rPr>
          <w:b/>
          <w:bCs/>
        </w:rPr>
        <w:t>Дорожное хозяйство</w:t>
      </w:r>
    </w:p>
    <w:p w:rsidR="00AF4B45" w:rsidRPr="00AF4B45" w:rsidRDefault="00AF4B45" w:rsidP="00AF4B45">
      <w:pPr>
        <w:pStyle w:val="a3"/>
        <w:jc w:val="both"/>
      </w:pPr>
      <w:r w:rsidRPr="00AF4B45">
        <w:t xml:space="preserve">В настоящее время на территории автономного округа находятся в эксплуатации 2199,5 км автомобильных дорог общего пользования, в том числе федеральных - 13,2 км, из них 693,9 км дорог с твердым покрытием и 1244,0 км зимних автодорог. В 2002 году на их содержание из средств окружного бюджета затрачено 353,0 млн. рублей, из федерального - 2,5 млн. рублей. Направлено 577,0 млн. рублей на реконструкцию и ремонт автодорог, в том числе капитальный, на приобретение дорожно-эксплутационной техники -61,0 млн. рублей. </w:t>
      </w:r>
    </w:p>
    <w:p w:rsidR="00AF4B45" w:rsidRPr="00AF4B45" w:rsidRDefault="00AF4B45" w:rsidP="00AF4B45">
      <w:pPr>
        <w:pStyle w:val="a3"/>
        <w:jc w:val="both"/>
      </w:pPr>
      <w:r w:rsidRPr="00AF4B45">
        <w:t xml:space="preserve">За счет окружного бюджета осуществляется строительство 219,8 км автодорог. В 2002 году сумма средств, направленных на строительство, составила 880,6 млн. рублей. В 2002 году сдано в эксплуатацию 7,8 км автодороги "ст. Коротчаево - ст. Пуровск" и 0,7 км автодороги "Новый Уренгой - Старый Надым". </w:t>
      </w:r>
    </w:p>
    <w:p w:rsidR="00AF4B45" w:rsidRPr="00AF4B45" w:rsidRDefault="00AF4B45" w:rsidP="00AF4B45">
      <w:pPr>
        <w:pStyle w:val="a3"/>
        <w:jc w:val="both"/>
      </w:pPr>
      <w:r w:rsidRPr="00AF4B45">
        <w:t>В 2002 году расходы окружного бюджета по разделу "Дорожное хозяйство" составили 1945,0 млн. рублей, средства, запланированные на 2003 год, составляют 1600,0 млн. рублей Уменьшение средств, направляемых на содержание и строительство дорог, в первую очередь обусловлено изменениями в налоговом законодательстве, что приведет к снижению темпов строительства новых перспективных автодорог. Возникает необходимость изыскания дополнительных источников финансирования на содержание, ремонт и строительство автодорог, а также рассмотреть возможности по использованию внутренних резервов дорожного хозяйства.</w:t>
      </w:r>
    </w:p>
    <w:p w:rsidR="00AF4B45" w:rsidRPr="00AF4B45" w:rsidRDefault="00AF4B45" w:rsidP="00AF4B45">
      <w:pPr>
        <w:pStyle w:val="a3"/>
        <w:jc w:val="center"/>
      </w:pPr>
      <w:r w:rsidRPr="00AF4B45">
        <w:rPr>
          <w:b/>
          <w:bCs/>
        </w:rPr>
        <w:t>Жилищно-коммунальное хозяйство</w:t>
      </w:r>
    </w:p>
    <w:p w:rsidR="00AF4B45" w:rsidRPr="00AF4B45" w:rsidRDefault="00AF4B45" w:rsidP="00AF4B45">
      <w:pPr>
        <w:pStyle w:val="a3"/>
        <w:jc w:val="both"/>
      </w:pPr>
      <w:r w:rsidRPr="00AF4B45">
        <w:t xml:space="preserve">На территории Ямало-Ненецкого автономного округа осуществляют деятельность 13 муниципальных предприятий жилищно-коммунального хозяйства. За 2002 год оценочная величина предоставленных ими услуг (работ) составляет около 6 млрд. рублей. </w:t>
      </w:r>
    </w:p>
    <w:p w:rsidR="00AF4B45" w:rsidRPr="00AF4B45" w:rsidRDefault="00AF4B45" w:rsidP="00AF4B45">
      <w:pPr>
        <w:pStyle w:val="a3"/>
        <w:jc w:val="both"/>
      </w:pPr>
      <w:r w:rsidRPr="00AF4B45">
        <w:t xml:space="preserve">В настоящее время одной из самых острых проблем ЖКК ЯНАО, тормозящей его реформирование, является значительная величина кредиторской и дебиторской задолженности в структуре баланса предприятий отрасли. Общая задолженность предприятий ЖКК автономного округа перед кредиторами по состоянию на 1 октября 2002 года составила 4,8 млрд. рублей и уменьшилась за 9 месяцев 2002 года на 100 млн. рублей. </w:t>
      </w:r>
    </w:p>
    <w:p w:rsidR="00AF4B45" w:rsidRPr="00AF4B45" w:rsidRDefault="00AF4B45" w:rsidP="00AF4B45">
      <w:pPr>
        <w:pStyle w:val="a3"/>
        <w:jc w:val="both"/>
      </w:pPr>
      <w:r w:rsidRPr="00AF4B45">
        <w:t xml:space="preserve">Кредиторская задолженность перед поставщиками и подрядчиками увеличилась за девять месяцев 2002 года на 102,6 млн. рублей и составила 1,5 млрд. рублей (30% от общей задолженности), займы и кредиты увеличились на 107,0 млн. рублей и составили 1,2 млрд. рублей (24%). Задолженность бюджетам всех уровней по обязательным платежам и начисленным штрафам и пеням по состоянию на 1 октября 2002 года составила 0,6 млрд. рублей (11,4%) от общей суммы кредиторской задолженности. Кредиторская задолженность по обязательным платежам в государственные внебюджетные фонды на 1 октября 2002 года составила 1,4 млрд. рублей, по сравнению с началом 2002 года задолженность снизилась на 28,4 млн. рублей. </w:t>
      </w:r>
    </w:p>
    <w:p w:rsidR="00AF4B45" w:rsidRPr="00AF4B45" w:rsidRDefault="00AF4B45" w:rsidP="00AF4B45">
      <w:pPr>
        <w:pStyle w:val="a3"/>
        <w:jc w:val="both"/>
      </w:pPr>
      <w:r w:rsidRPr="00AF4B45">
        <w:t xml:space="preserve">Общая дебиторская задолженность муниципальных предприятий ЖКК автономного округа за 9 месяцев 2002 года увеличилась на 11,5% и составила 2,0 млрд. рублей. </w:t>
      </w:r>
    </w:p>
    <w:p w:rsidR="00AF4B45" w:rsidRPr="00AF4B45" w:rsidRDefault="00AF4B45" w:rsidP="00AF4B45">
      <w:pPr>
        <w:pStyle w:val="a3"/>
        <w:jc w:val="both"/>
      </w:pPr>
      <w:r w:rsidRPr="00AF4B45">
        <w:t xml:space="preserve">В структуре дебиторской задолженности предприятий ЖКК 73,8% составляют неплатежи покупателей и заказчиков (1,5 млрд. рублей), задолженность прочих дебиторов - 15,1% (300,7 млн. рублей), в том числе доля задолженности населения по оплате ЖКУ - 12,5% (238 млн. рублей). Наименьший процент собираемости платежей населения за ЖКУ наблюдается в Приуральском районе (47%) и г. Губкинский (56%). </w:t>
      </w:r>
    </w:p>
    <w:p w:rsidR="00AF4B45" w:rsidRPr="00AF4B45" w:rsidRDefault="00AF4B45" w:rsidP="00AF4B45">
      <w:pPr>
        <w:pStyle w:val="a3"/>
        <w:jc w:val="both"/>
      </w:pPr>
      <w:r w:rsidRPr="00AF4B45">
        <w:t xml:space="preserve">За счет предпринимаемых предприятиями ЖКК мер (направление исков в суд, размещение информации о задолженности в СМИ) происходит повышение уровня собираемости платежей, так по г. Ноябрьску уровень платежей возрос с 70 до 80 процентов. </w:t>
      </w:r>
    </w:p>
    <w:p w:rsidR="00AF4B45" w:rsidRPr="00AF4B45" w:rsidRDefault="00AF4B45" w:rsidP="00AF4B45">
      <w:pPr>
        <w:pStyle w:val="a3"/>
        <w:jc w:val="both"/>
      </w:pPr>
      <w:r w:rsidRPr="00AF4B45">
        <w:t xml:space="preserve">В целом по округу предприятиями ЖКХ нарушено платежное сальдо - кредиторская задолженность превышает дебиторскую. На начало 2002 года превышение достигало 2,8 раза, за 9 месяцев 2002г. этот показатель снизился до 2,4 раза. </w:t>
      </w:r>
    </w:p>
    <w:p w:rsidR="00AF4B45" w:rsidRPr="00AF4B45" w:rsidRDefault="00AF4B45" w:rsidP="00AF4B45">
      <w:pPr>
        <w:pStyle w:val="a3"/>
        <w:jc w:val="both"/>
      </w:pPr>
      <w:r w:rsidRPr="00AF4B45">
        <w:t xml:space="preserve">Концепцией реформы жилищно-коммунального хозяйства в РФ планировалось к 2003 году свести к нулю дотации из бюджета предприятиям, оказывающим жилищно-коммунальные услуги населению (ЖКУ), за счет введения 100% оплаты ЖКУ населением. В Ямало-Ненецком автономном округе с 1 января 2003 года уровень платежей за ЖКУ установлен в размере 71,4% от экономически обоснованного тарифа на ЖКУ. </w:t>
      </w:r>
    </w:p>
    <w:p w:rsidR="00AF4B45" w:rsidRPr="00AF4B45" w:rsidRDefault="00AF4B45" w:rsidP="00AF4B45">
      <w:pPr>
        <w:pStyle w:val="a3"/>
        <w:jc w:val="both"/>
      </w:pPr>
      <w:r w:rsidRPr="00AF4B45">
        <w:t xml:space="preserve">Гражданам (семьям) автономного округа, имеющим совокупный доход ниже величины прожиточного уровня, установленного в ЯНАО, или имеющим расходы на ЖКУ (в пределах социальных нормы площади жилья) более 18% от совокупного дохода, предоставляются жилищные субсидии. В течение 9 месяцев 2002 года в автономном округе правом на получение субсидии воспользовалось 5,8 тысяч семей или 3,7% от количества семей проживающих в муниципальных образованиях округа. В аналогичном периоде 2001 года правом на получение субсидии воспользовалось 3,8 тысяч семей или 2,5%. Общая сумма начисленных субсидий населению на оплату ЖКУ в течение 9 месяцев 2002 года составила 55,1 млн. рублей, что в 6,3 раза больше, чем в аналогичном периоде 2001 года (8,7 млн. руб.). При этом сумма задолженности населения по оплате за ЖКУ на 1 октября 2002 (238 млн. руб.) в сравнении с аналогичным периодом 2001 года (79 млн. руб.) возросла в 3 раза. Причинами увеличения объемов субсидирования являются: увеличение уровня платежей граждан за ЖКУ с 38,7% в сентябре 2001 года до 66,8% в сентябре 2002 года; увеличение фактической величины расходов на производство ЖКУ по обследуемому жилфонду на 35,6% на фоне сохранения уровня совокупного дохода населения. </w:t>
      </w:r>
    </w:p>
    <w:p w:rsidR="00AF4B45" w:rsidRPr="00AF4B45" w:rsidRDefault="00AF4B45" w:rsidP="00AF4B45">
      <w:pPr>
        <w:pStyle w:val="a3"/>
        <w:jc w:val="both"/>
      </w:pPr>
      <w:r w:rsidRPr="00AF4B45">
        <w:t xml:space="preserve">Сравнительный анализ фактической себестоимости и экономически обоснованного тарифа (ЭОТ) на все виды предоставляемых жилищно-коммунальных услуг в автономном округе по состоянию на 1 октября 2002 года показал, что средневзвешенная величина фактических затрат по ЯНАО соответствует планируемым тарифам (с незначительными расхождениями). Однако по отдельным муниципальным образованиям наблюдаются расхождения до 50-70% между ЭОТ и фактическими затратами на оказываемые услуги. </w:t>
      </w:r>
    </w:p>
    <w:p w:rsidR="00AF4B45" w:rsidRPr="00AF4B45" w:rsidRDefault="00AF4B45" w:rsidP="00AF4B45">
      <w:pPr>
        <w:pStyle w:val="a3"/>
        <w:jc w:val="both"/>
      </w:pPr>
      <w:r w:rsidRPr="00AF4B45">
        <w:t xml:space="preserve">В 2002 году на подготовку к зиме планировалось направить 1,2 млрд. рублей бюджетных средств, в основном за счет местных бюджетов (1,0 млрд. рублей), фактически использовано всего 50% этих средств. </w:t>
      </w:r>
    </w:p>
    <w:p w:rsidR="00AF4B45" w:rsidRPr="00AF4B45" w:rsidRDefault="00AF4B45" w:rsidP="00AF4B45">
      <w:pPr>
        <w:pStyle w:val="a3"/>
        <w:jc w:val="center"/>
      </w:pPr>
      <w:r w:rsidRPr="00AF4B45">
        <w:rPr>
          <w:b/>
          <w:bCs/>
        </w:rPr>
        <w:t>Финансы</w:t>
      </w:r>
    </w:p>
    <w:p w:rsidR="00AF4B45" w:rsidRPr="00AF4B45" w:rsidRDefault="00AF4B45" w:rsidP="00AF4B45">
      <w:pPr>
        <w:pStyle w:val="a3"/>
        <w:jc w:val="both"/>
      </w:pPr>
      <w:r w:rsidRPr="00AF4B45">
        <w:t xml:space="preserve">Доходы консолидированного бюджета Ямало-Ненецкого автономного округа за 2002 год составили 43,1 млрд. рублей или 121,7% доходов 2001 года, причём поступления от крупнейших предприятий нефтегазового комплекса: ОАО "Сибнефть-Ноябрьскнефтегаз", ОАО "Роснефть-Пурнефтегаз", предприятий ОАО "Газпром", составили 27,7 млрд. руб. или 64,2% всех доходов бюджета ЯНАО. </w:t>
      </w:r>
    </w:p>
    <w:p w:rsidR="00AF4B45" w:rsidRPr="00AF4B45" w:rsidRDefault="00DE0D70" w:rsidP="00AF4B45">
      <w:pPr>
        <w:pStyle w:val="a3"/>
        <w:jc w:val="both"/>
      </w:pPr>
      <w:r>
        <w:rPr>
          <w:noProof/>
        </w:rPr>
        <w:pict>
          <v:shape id="_x0000_s1031" type="#_x0000_t75" style="position:absolute;left:0;text-align:left;margin-left:0;margin-top:60.2pt;width:351pt;height:3in;z-index:-251658752" wrapcoords="110 320 110 21153 21454 21153 21454 320 110 320">
            <v:imagedata r:id="rId11" o:title="06"/>
            <w10:wrap type="tight"/>
          </v:shape>
        </w:pict>
      </w:r>
      <w:r w:rsidR="00AF4B45" w:rsidRPr="00AF4B45">
        <w:t xml:space="preserve">Доля налоговых доходов в структуре поступлений составила 92,5%, против 93,5% в 2001 году. Незначительный рост неналоговых доходов связан с увеличением доходов от имущества, находящегося в государственной собственности, и от деятельности государственных и муниципальных организаций. </w:t>
      </w:r>
    </w:p>
    <w:p w:rsidR="00AF4B45" w:rsidRPr="00AF4B45" w:rsidRDefault="00AF4B45" w:rsidP="00AF4B45">
      <w:pPr>
        <w:pStyle w:val="a3"/>
        <w:jc w:val="both"/>
      </w:pPr>
    </w:p>
    <w:p w:rsidR="00AF4B45" w:rsidRPr="00AF4B45" w:rsidRDefault="00AF4B45" w:rsidP="00AF4B45">
      <w:pPr>
        <w:pStyle w:val="a3"/>
        <w:jc w:val="both"/>
      </w:pPr>
      <w:r w:rsidRPr="00AF4B45">
        <w:t xml:space="preserve">С 1 января 2002 года введён налог на добычу полезных ископаемых (НДПИ) Несмотря на отмену платежей за пользование недрами и отчислений на воспроизводство минерально-сырьевой базы, данные виды налогов поступали и в 2002 году (по расчётам за 2001 год и в счёт погашения задолженности прошлых лет). </w:t>
      </w:r>
    </w:p>
    <w:p w:rsidR="00AF4B45" w:rsidRPr="00AF4B45" w:rsidRDefault="00AF4B45" w:rsidP="00AF4B45">
      <w:pPr>
        <w:pStyle w:val="a3"/>
        <w:jc w:val="both"/>
      </w:pPr>
      <w:r w:rsidRPr="00AF4B45">
        <w:t xml:space="preserve">Рост поступлений налога на прибыль организаций во многом вызван повышением цены на газ, добываемый предприятиями ОАО "Газпром", они дали 65,6% всех поступлений по данному виду налога. По сравнению с 2001 годом средняя цена газа по четырём предприятиям выросла на 67,7 руб./тыс.м3. </w:t>
      </w:r>
    </w:p>
    <w:p w:rsidR="00AF4B45" w:rsidRPr="00AF4B45" w:rsidRDefault="00AF4B45" w:rsidP="00AF4B45">
      <w:pPr>
        <w:pStyle w:val="a3"/>
        <w:jc w:val="both"/>
      </w:pPr>
      <w:r w:rsidRPr="00AF4B45">
        <w:t xml:space="preserve">В тоже время поступления налога на прибыль от крупнейших предприятий нефтедобывающего комплекса (ОАО "Сибнефть-Ноябрьскнефтегаз", ОАО "Роснефть-Пурнефтегаз") составили всего 3% от поступлений данного налога в бюджетную систему ЯНАО, что обусловлено низкими отпускными, так называемыми "внутрикорпоративными", ценами на нефть. </w:t>
      </w:r>
    </w:p>
    <w:p w:rsidR="00AF4B45" w:rsidRPr="00AF4B45" w:rsidRDefault="00AF4B45" w:rsidP="00AF4B45">
      <w:pPr>
        <w:pStyle w:val="a3"/>
        <w:jc w:val="both"/>
      </w:pPr>
      <w:r w:rsidRPr="00AF4B45">
        <w:t xml:space="preserve">Поступления налога на доходы физических лиц увеличились на 26,3 %, что вызвано ростом фонда оплаты труда. </w:t>
      </w:r>
    </w:p>
    <w:p w:rsidR="00AF4B45" w:rsidRPr="00AF4B45" w:rsidRDefault="00AF4B45" w:rsidP="00AF4B45">
      <w:pPr>
        <w:pStyle w:val="a3"/>
        <w:jc w:val="both"/>
      </w:pPr>
      <w:r w:rsidRPr="00AF4B45">
        <w:t xml:space="preserve">Рост неналоговых доходов в 2002 году вызван, во-первых, низким исполнением годовых бюджетных назначений в 2001 году - 30,2%, во-вторых, значительным увеличением доходов от имущества, находящегося в государственной собственности и от деятельности государственных и муниципальных организаций. </w:t>
      </w:r>
    </w:p>
    <w:p w:rsidR="00AF4B45" w:rsidRPr="00AF4B45" w:rsidRDefault="00AF4B45" w:rsidP="00AF4B45">
      <w:pPr>
        <w:pStyle w:val="a3"/>
        <w:jc w:val="both"/>
      </w:pPr>
      <w:r w:rsidRPr="00AF4B45">
        <w:t xml:space="preserve">Расходы консолидированного бюджета в 2002 году составили 40,8 млрд. рублей или 116,5% расходов 2001 года (35,0 млрд. руб.). </w:t>
      </w:r>
    </w:p>
    <w:p w:rsidR="00AF4B45" w:rsidRPr="00AF4B45" w:rsidRDefault="00AF4B45" w:rsidP="00AF4B45">
      <w:pPr>
        <w:pStyle w:val="a3"/>
        <w:jc w:val="both"/>
      </w:pPr>
    </w:p>
    <w:p w:rsidR="00AF4B45" w:rsidRPr="00AF4B45" w:rsidRDefault="00DE0D70" w:rsidP="00AF4B45">
      <w:pPr>
        <w:pStyle w:val="a3"/>
        <w:jc w:val="both"/>
      </w:pPr>
      <w:r>
        <w:rPr>
          <w:noProof/>
        </w:rPr>
        <w:pict>
          <v:shape id="_x0000_s1032" type="#_x0000_t75" style="position:absolute;left:0;text-align:left;margin-left:0;margin-top:26.2pt;width:341.65pt;height:207pt;z-index:-251657728" wrapcoords="74 264 74 21270 21488 21270 21488 264 74 264">
            <v:imagedata r:id="rId12" o:title="07"/>
            <w10:wrap type="tight"/>
          </v:shape>
        </w:pict>
      </w:r>
      <w:r w:rsidR="00AF4B45" w:rsidRPr="00AF4B45">
        <w:t xml:space="preserve">Структура расходов претерпела изменения. Увеличение доли расходов по статье "Промышленность, энергетика и строительство" и снижение по статьям "Жилищно-коммунальное хозяйство", "Транспорт, дорожное хозяйство, связь и информатика" вызвано изменением порядка отнесения капитальных расходов по статьям бюджетной классификации. В 2001 году капитальные расходы отражались по соответствующим статьям функциональной классификации. В 2002 году - по статье функциональной классификации "Промышленность, энергетика и строительство". </w:t>
      </w:r>
    </w:p>
    <w:p w:rsidR="00AF4B45" w:rsidRPr="00AF4B45" w:rsidRDefault="00AF4B45" w:rsidP="00AF4B45">
      <w:pPr>
        <w:pStyle w:val="a3"/>
        <w:jc w:val="center"/>
      </w:pPr>
      <w:r w:rsidRPr="00AF4B45">
        <w:rPr>
          <w:b/>
          <w:bCs/>
        </w:rPr>
        <w:t>Рынок труда</w:t>
      </w:r>
    </w:p>
    <w:p w:rsidR="00AF4B45" w:rsidRPr="00AF4B45" w:rsidRDefault="00AF4B45" w:rsidP="00AF4B45">
      <w:pPr>
        <w:pStyle w:val="a3"/>
        <w:jc w:val="both"/>
      </w:pPr>
      <w:r w:rsidRPr="00AF4B45">
        <w:t xml:space="preserve">На конец 2002 года численность экономически активного населения составила 326 тыс. человек или 64,8% от общей численности населения автономного округа. </w:t>
      </w:r>
    </w:p>
    <w:p w:rsidR="00AF4B45" w:rsidRPr="00AF4B45" w:rsidRDefault="00AF4B45" w:rsidP="00AF4B45">
      <w:pPr>
        <w:pStyle w:val="a3"/>
        <w:jc w:val="both"/>
      </w:pPr>
      <w:r w:rsidRPr="00AF4B45">
        <w:t xml:space="preserve">В 2002 году основная тенденция заключалась в увеличении численности занятых в экономике и официально зарегистрированных безработных. За 2002 год численность безработных, зарегистрированных в органах службы занятости, увеличилась с 8,4 тыс. человек до 8,9 тыс. человек, что на 9,3% больше, чем на 1.01.2002 года. Уровень регистрируемой безработицы в автономном округе на 1.01.2003 года составил 2,7%, против 2,6% на 1.01.2002 года, что превышает уровень среднероссийского показателя в 1,5 раза. Кроме того, автономный округ имеет самый высокий регистрируемый уровень безработицы среди регионов Уральского Федерального округа. Причина роста численности регистрируемых безработных связана с увеличением размера минимального пособия по безработице и расширением деятельности службы занятости автономного округа по информированию населения о ситуации на рынке труда. </w:t>
      </w:r>
    </w:p>
    <w:p w:rsidR="00AF4B45" w:rsidRPr="00AF4B45" w:rsidRDefault="00AF4B45" w:rsidP="00AF4B45">
      <w:pPr>
        <w:pStyle w:val="a3"/>
        <w:jc w:val="both"/>
      </w:pPr>
      <w:r w:rsidRPr="00AF4B45">
        <w:t xml:space="preserve">Сохраняется значительная дифференциация территорий по уровню регистрированной безработицы. К концу года разрыв между максимальным и минимальным значениями этого показателя достиг 5 раз против 6,4 раза на конец 2001 года. Практически во всех муниципальных образованиях автономного округа уровень регистрированной безработицы превысил среднероссийское значение - 1,7%, кроме городов городов Губкинский и Новый Уренгой, в которых не превысил значения 1,6%. </w:t>
      </w:r>
    </w:p>
    <w:p w:rsidR="00AF4B45" w:rsidRPr="00AF4B45" w:rsidRDefault="00AF4B45" w:rsidP="00AF4B45">
      <w:pPr>
        <w:pStyle w:val="a3"/>
        <w:jc w:val="both"/>
      </w:pPr>
      <w:r w:rsidRPr="00AF4B45">
        <w:t xml:space="preserve">К относительно благополучным районам, уровень безработицы в которых в течение года не превысил среднеокружной показатель, относятся города Губкинский, Новый Уренгой, Надым, Салехард. </w:t>
      </w:r>
    </w:p>
    <w:p w:rsidR="00AF4B45" w:rsidRPr="00AF4B45" w:rsidRDefault="00AF4B45" w:rsidP="00AF4B45">
      <w:pPr>
        <w:pStyle w:val="a3"/>
        <w:jc w:val="both"/>
      </w:pPr>
      <w:r w:rsidRPr="00AF4B45">
        <w:t xml:space="preserve">К муниципальным образованиям с наиболее высоким уровнем регистрируемой безработицы (в 1,5-2 раза выше среднеокружного уровня) относятся города Лабытнанги, Муравленко, Красноселькупский, Приуральский, Пуровский, Ямальский районы. </w:t>
      </w:r>
    </w:p>
    <w:p w:rsidR="00AF4B45" w:rsidRPr="00AF4B45" w:rsidRDefault="00AF4B45" w:rsidP="00AF4B45">
      <w:pPr>
        <w:pStyle w:val="a3"/>
        <w:jc w:val="both"/>
      </w:pPr>
      <w:r w:rsidRPr="00AF4B45">
        <w:t xml:space="preserve">За отчетный период снято с учета 16 тыс. человек, из них по причинам трудоустройства - 7 тыс. человек. </w:t>
      </w:r>
    </w:p>
    <w:p w:rsidR="00AF4B45" w:rsidRPr="00AF4B45" w:rsidRDefault="00AF4B45" w:rsidP="00AF4B45">
      <w:pPr>
        <w:pStyle w:val="a3"/>
        <w:jc w:val="both"/>
      </w:pPr>
      <w:r w:rsidRPr="00AF4B45">
        <w:t xml:space="preserve">С января по декабрь 2002 года число заявленных вакансий уменьшилось с 3672 до 2369 единиц. Основную долю их занимают рабочие специальности, требующие высокого профессионализма, что затрудняет трудоустройство безработных граждан. Существующее несоответствие между спросом и предложением рабочей силы, а также низкий уровень оплаты труда значительной части заявленных в службу занятости округа вакансий не позволяет в минимальные сроки заполнить вакансии и обеспечить ищущих работу и работодателей услугами, облегчающими процесс отбора специалистов на рабочие места. В результате коэффициент напряженности (численность незанятых граждан, зарегистрированных в службе занятости в расчете на одну вакансию) увеличился по сравнению с 2001 годом на 42,6% и составил к концу года 4 человека на одну вакансию. </w:t>
      </w:r>
    </w:p>
    <w:p w:rsidR="00AF4B45" w:rsidRPr="00AF4B45" w:rsidRDefault="00AF4B45" w:rsidP="00AF4B45">
      <w:pPr>
        <w:pStyle w:val="a3"/>
        <w:jc w:val="both"/>
      </w:pPr>
      <w:r w:rsidRPr="00AF4B45">
        <w:t xml:space="preserve">За 2002 год было выдано разрешений более 400 предприятиям на привлечение в производстве иностранной рабочей силы в количестве более 15 тыс. человек. Наибольшая доля иностранной рабочей силы работает в городах Салехард (27% от общего числа привлекаемой рабочей силы), Надым (22%), Новый Уренгой (20%). </w:t>
      </w:r>
    </w:p>
    <w:p w:rsidR="00AF4B45" w:rsidRPr="00AF4B45" w:rsidRDefault="00AF4B45" w:rsidP="00AF4B45">
      <w:pPr>
        <w:pStyle w:val="a3"/>
        <w:jc w:val="both"/>
      </w:pPr>
      <w:r w:rsidRPr="00AF4B45">
        <w:t xml:space="preserve">На территорию автономного округа иностранные работники привлекаются из 25 стран мира, в т.ч. из 13 стран "дальнего зарубежья". </w:t>
      </w:r>
    </w:p>
    <w:p w:rsidR="00AF4B45" w:rsidRPr="00AF4B45" w:rsidRDefault="00DE0D70" w:rsidP="00AF4B45">
      <w:pPr>
        <w:pStyle w:val="a3"/>
        <w:jc w:val="both"/>
      </w:pPr>
      <w:r>
        <w:rPr>
          <w:noProof/>
        </w:rPr>
        <w:pict>
          <v:shape id="_x0000_s1033" type="#_x0000_t75" style="position:absolute;left:0;text-align:left;margin-left:0;margin-top:.2pt;width:5in;height:279pt;z-index:-251656704" wrapcoords="-37 0 -37 21540 21600 21540 21600 0 -37 0">
            <v:imagedata r:id="rId13" o:title="08"/>
            <w10:wrap type="tight"/>
          </v:shape>
        </w:pict>
      </w:r>
      <w:r w:rsidR="00AF4B45" w:rsidRPr="00AF4B45">
        <w:t xml:space="preserve">В структуре основных стран экспортеров иностранной рабочей силы сохраняется тенденция прошлых лет: Украина - более 70%, Молдова - 5%, Азербайджан - 2%. Из стран "дальнего зарубежья": Турция - более 10%. Ведущей отраслью, где применяется иностранная рабочая сила, остается строительство - более 80%, на долю геологии приходится около 10%, промышленности - 3%, ЖКХ - 2 процента. </w:t>
      </w:r>
    </w:p>
    <w:p w:rsidR="00AF4B45" w:rsidRPr="00AF4B45" w:rsidRDefault="00AF4B45" w:rsidP="00AF4B45">
      <w:pPr>
        <w:pStyle w:val="a3"/>
        <w:jc w:val="both"/>
      </w:pPr>
      <w:r w:rsidRPr="00AF4B45">
        <w:t xml:space="preserve">Несмотря на увеличение количества безработных в округе, одновременно увеличивается численность иностранной рабочей силы. Так, количество официально зарегистрированных безработных за 2002 год составило 8884 человек и увеличилось в течение года на 755 человек, численность привлекаемой иностранной рабочей силы возросла на 3 тыс. человек. </w:t>
      </w:r>
    </w:p>
    <w:p w:rsidR="00AF4B45" w:rsidRPr="00AF4B45" w:rsidRDefault="00AF4B45" w:rsidP="00AF4B45">
      <w:pPr>
        <w:pStyle w:val="a3"/>
        <w:jc w:val="both"/>
      </w:pPr>
      <w:r w:rsidRPr="00AF4B45">
        <w:t xml:space="preserve">В 2002 году уровень безработицы, рассчитанный относительно экономически активного населения, составил 2,7%, привлечение иностранных работников - 4,6% от экономически активного населения. </w:t>
      </w:r>
    </w:p>
    <w:p w:rsidR="00AF4B45" w:rsidRPr="00AF4B45" w:rsidRDefault="00AF4B45" w:rsidP="00AF4B45">
      <w:pPr>
        <w:pStyle w:val="a3"/>
        <w:jc w:val="both"/>
      </w:pPr>
      <w:r w:rsidRPr="00AF4B45">
        <w:t>Занятость иностранцев на предприятиях и в организациях округа позволяет частично решать проблемы заполнения свободных рабочих мест, на которые даже в условиях безработицы нет конкуренции со стороны местных трудовых ресурсов. Однако в сложившихся условиях целесообразно разработать в округе механизм внутренней трудовой миграции, который бы давал возможность привлечения безработных жителей автономного округа для работы на предприятиях округа, возможно и не в месте их постоянного проживания.</w:t>
      </w:r>
    </w:p>
    <w:p w:rsidR="00AF4B45" w:rsidRPr="00AF4B45" w:rsidRDefault="00AF4B45" w:rsidP="00AF4B45">
      <w:pPr>
        <w:pStyle w:val="a3"/>
        <w:jc w:val="both"/>
      </w:pPr>
      <w:r w:rsidRPr="00AF4B45">
        <w:rPr>
          <w:b/>
          <w:bCs/>
        </w:rPr>
        <w:t xml:space="preserve">Уровень жизни населения </w:t>
      </w:r>
    </w:p>
    <w:p w:rsidR="00AF4B45" w:rsidRPr="00AF4B45" w:rsidRDefault="00AF4B45" w:rsidP="00AF4B45">
      <w:pPr>
        <w:pStyle w:val="a3"/>
        <w:jc w:val="both"/>
      </w:pPr>
      <w:r w:rsidRPr="00AF4B45">
        <w:t xml:space="preserve">В 2002 году по оперативным данным номинальные денежные доходы населения округа составили 80,3 млрд. рублей и по сравнению с 2001 годом возросли на 24,6 процента. </w:t>
      </w:r>
    </w:p>
    <w:p w:rsidR="00AF4B45" w:rsidRPr="00AF4B45" w:rsidRDefault="00AF4B45" w:rsidP="00AF4B45">
      <w:pPr>
        <w:pStyle w:val="a3"/>
        <w:jc w:val="both"/>
      </w:pPr>
      <w:r w:rsidRPr="00AF4B45">
        <w:t>По сравнению с 2000-2001 годами в 2002 году происходит снижение темпов роста реальных располагаемых денежных доходов населения. Так, если в 2001 году уровень реальных располагаемых денежных доходов населения составил 117,9 % к 2000 году, то в 2002 году - 104,3 % к уровню 2001 года, (по Российской Федерации - соответственно 108,5% и 108,8%).</w:t>
      </w:r>
    </w:p>
    <w:p w:rsidR="00AF4B45" w:rsidRPr="00AF4B45" w:rsidRDefault="00AF4B45" w:rsidP="00AF4B45">
      <w:pPr>
        <w:pStyle w:val="a3"/>
        <w:jc w:val="center"/>
      </w:pPr>
      <w:r w:rsidRPr="00AF4B45">
        <w:rPr>
          <w:b/>
          <w:bCs/>
        </w:rPr>
        <w:t>Показатели уровня жизни и доходов населения</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583"/>
        <w:gridCol w:w="919"/>
        <w:gridCol w:w="1210"/>
        <w:gridCol w:w="1330"/>
        <w:gridCol w:w="1343"/>
      </w:tblGrid>
      <w:tr w:rsidR="00AF4B45" w:rsidRPr="00AF4B45">
        <w:trPr>
          <w:tblCellSpacing w:w="0" w:type="dxa"/>
          <w:jc w:val="center"/>
        </w:trPr>
        <w:tc>
          <w:tcPr>
            <w:tcW w:w="4583" w:type="dxa"/>
            <w:vMerge w:val="restart"/>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Показатели</w:t>
            </w:r>
          </w:p>
        </w:tc>
        <w:tc>
          <w:tcPr>
            <w:tcW w:w="919" w:type="dxa"/>
            <w:vMerge w:val="restart"/>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Ед. изм.</w:t>
            </w:r>
          </w:p>
        </w:tc>
        <w:tc>
          <w:tcPr>
            <w:tcW w:w="3883" w:type="dxa"/>
            <w:gridSpan w:val="3"/>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январь-декабрь</w:t>
            </w:r>
          </w:p>
        </w:tc>
      </w:tr>
      <w:tr w:rsidR="00AF4B45" w:rsidRPr="00AF4B45">
        <w:trPr>
          <w:tblCellSpacing w:w="0" w:type="dxa"/>
          <w:jc w:val="center"/>
        </w:trPr>
        <w:tc>
          <w:tcPr>
            <w:tcW w:w="4583" w:type="dxa"/>
            <w:vMerge/>
            <w:tcBorders>
              <w:top w:val="outset" w:sz="6" w:space="0" w:color="auto"/>
              <w:bottom w:val="outset" w:sz="6" w:space="0" w:color="auto"/>
              <w:right w:val="outset" w:sz="6" w:space="0" w:color="auto"/>
            </w:tcBorders>
            <w:vAlign w:val="center"/>
          </w:tcPr>
          <w:p w:rsidR="00AF4B45" w:rsidRPr="00AF4B45" w:rsidRDefault="00AF4B45" w:rsidP="00AF4B45">
            <w:pPr>
              <w:jc w:val="center"/>
            </w:pPr>
          </w:p>
        </w:tc>
        <w:tc>
          <w:tcPr>
            <w:tcW w:w="919" w:type="dxa"/>
            <w:vMerge/>
            <w:tcBorders>
              <w:top w:val="outset" w:sz="6" w:space="0" w:color="auto"/>
              <w:left w:val="outset" w:sz="6" w:space="0" w:color="auto"/>
              <w:bottom w:val="outset" w:sz="6" w:space="0" w:color="auto"/>
              <w:right w:val="outset" w:sz="6" w:space="0" w:color="auto"/>
            </w:tcBorders>
            <w:vAlign w:val="center"/>
          </w:tcPr>
          <w:p w:rsidR="00AF4B45" w:rsidRPr="00AF4B45" w:rsidRDefault="00AF4B45" w:rsidP="00AF4B45">
            <w:pPr>
              <w:jc w:val="center"/>
            </w:pP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2000 год</w:t>
            </w:r>
            <w:r w:rsidRPr="00AF4B45">
              <w:br/>
              <w:t>отчет</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2001 год</w:t>
            </w:r>
            <w:r w:rsidRPr="00AF4B45">
              <w:br/>
              <w:t>отчет</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2002 год</w:t>
            </w:r>
            <w:r w:rsidRPr="00AF4B45">
              <w:br/>
              <w:t>отчет</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Default="00AF4B45" w:rsidP="00AF4B45">
            <w:pPr>
              <w:pStyle w:val="a3"/>
              <w:jc w:val="center"/>
            </w:pPr>
            <w:r>
              <w:t xml:space="preserve">Среднедушевые денежные доходы </w:t>
            </w:r>
          </w:p>
          <w:p w:rsidR="00AF4B45" w:rsidRPr="00AF4B45" w:rsidRDefault="00AF4B45" w:rsidP="00AF4B45">
            <w:pPr>
              <w:pStyle w:val="a3"/>
              <w:jc w:val="center"/>
            </w:pPr>
            <w:r w:rsidRPr="00AF4B45">
              <w:t>(в месяц )</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руб</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7582,4</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10750,4</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13330,2</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Темп роста к предыдущему году</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146,3</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141,8</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124,0</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Реальные располагаемые денежные доходы</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118,0</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117,9</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104,3</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Начисленная среднемесячная заработная плата одного работника</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рублей</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8964,7</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12577,1</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15777,3</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Темп роста к предыдущему году</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154,0</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140,3</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125,4</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Реальная заработная плата</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125,4</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115,3</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105,7</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Средний размер назначенных месячных пенсий</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рублей</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992,3</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1300,0</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1905,8</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Темп роста к предыдущему году</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132,8</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131,0</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146,6</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Реальный размер пенсии</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108,2</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106,6</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127,7</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В</w:t>
            </w:r>
            <w:r>
              <w:t>еличина прожиточного минимума (</w:t>
            </w:r>
            <w:r w:rsidRPr="00AF4B45">
              <w:t>в среднем на душу населения, в месяц)</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рублей</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1726,5</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2312,0</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2916,0</w:t>
            </w:r>
          </w:p>
        </w:tc>
      </w:tr>
      <w:tr w:rsidR="00AF4B45" w:rsidRPr="00AF4B45">
        <w:trPr>
          <w:tblCellSpacing w:w="0" w:type="dxa"/>
          <w:jc w:val="center"/>
        </w:trPr>
        <w:tc>
          <w:tcPr>
            <w:tcW w:w="4583" w:type="dxa"/>
            <w:tcBorders>
              <w:top w:val="outset" w:sz="6" w:space="0" w:color="auto"/>
              <w:bottom w:val="outset" w:sz="6" w:space="0" w:color="auto"/>
              <w:right w:val="outset" w:sz="6" w:space="0" w:color="auto"/>
            </w:tcBorders>
          </w:tcPr>
          <w:p w:rsidR="00AF4B45" w:rsidRPr="00AF4B45" w:rsidRDefault="00AF4B45" w:rsidP="00AF4B45">
            <w:pPr>
              <w:pStyle w:val="a3"/>
              <w:jc w:val="center"/>
            </w:pPr>
            <w:r w:rsidRPr="00AF4B45">
              <w:t>Темп роста к предыдущему году</w:t>
            </w:r>
          </w:p>
        </w:tc>
        <w:tc>
          <w:tcPr>
            <w:tcW w:w="919"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w:t>
            </w:r>
          </w:p>
        </w:tc>
        <w:tc>
          <w:tcPr>
            <w:tcW w:w="121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118,0</w:t>
            </w:r>
          </w:p>
        </w:tc>
        <w:tc>
          <w:tcPr>
            <w:tcW w:w="1330" w:type="dxa"/>
            <w:tcBorders>
              <w:top w:val="outset" w:sz="6" w:space="0" w:color="auto"/>
              <w:left w:val="outset" w:sz="6" w:space="0" w:color="auto"/>
              <w:bottom w:val="outset" w:sz="6" w:space="0" w:color="auto"/>
              <w:right w:val="outset" w:sz="6" w:space="0" w:color="auto"/>
            </w:tcBorders>
          </w:tcPr>
          <w:p w:rsidR="00AF4B45" w:rsidRPr="00AF4B45" w:rsidRDefault="00AF4B45" w:rsidP="00AF4B45">
            <w:pPr>
              <w:pStyle w:val="a3"/>
              <w:jc w:val="center"/>
            </w:pPr>
            <w:r w:rsidRPr="00AF4B45">
              <w:t>133,9</w:t>
            </w:r>
          </w:p>
        </w:tc>
        <w:tc>
          <w:tcPr>
            <w:tcW w:w="1343" w:type="dxa"/>
            <w:tcBorders>
              <w:top w:val="outset" w:sz="6" w:space="0" w:color="auto"/>
              <w:left w:val="outset" w:sz="6" w:space="0" w:color="auto"/>
              <w:bottom w:val="outset" w:sz="6" w:space="0" w:color="auto"/>
            </w:tcBorders>
          </w:tcPr>
          <w:p w:rsidR="00AF4B45" w:rsidRPr="00AF4B45" w:rsidRDefault="00AF4B45" w:rsidP="00AF4B45">
            <w:pPr>
              <w:pStyle w:val="a3"/>
              <w:jc w:val="center"/>
            </w:pPr>
            <w:r w:rsidRPr="00AF4B45">
              <w:t>126,1</w:t>
            </w:r>
          </w:p>
        </w:tc>
      </w:tr>
    </w:tbl>
    <w:p w:rsidR="00AF4B45" w:rsidRPr="00AF4B45" w:rsidRDefault="00AF4B45" w:rsidP="00AF4B45">
      <w:pPr>
        <w:pStyle w:val="a3"/>
        <w:jc w:val="both"/>
      </w:pPr>
      <w:r w:rsidRPr="00AF4B45">
        <w:t xml:space="preserve">В расчете на одного жителя округа среднемесячные денежные доходы составили 13330,2 рублей, темп роста к уровню 2001 года - 24%, (по Российской Федерации - соответственно 3887,0 рублей и 127%. </w:t>
      </w:r>
    </w:p>
    <w:p w:rsidR="00AF4B45" w:rsidRPr="00AF4B45" w:rsidRDefault="00AF4B45" w:rsidP="00AF4B45">
      <w:pPr>
        <w:pStyle w:val="a3"/>
        <w:jc w:val="both"/>
      </w:pPr>
      <w:r w:rsidRPr="00AF4B45">
        <w:t xml:space="preserve">Основным источником денежных доходов населения остается заработная плата, доля которой в доходах населения в 2002 году составила 70 процентов </w:t>
      </w:r>
    </w:p>
    <w:p w:rsidR="00AF4B45" w:rsidRPr="00AF4B45" w:rsidRDefault="00AF4B45" w:rsidP="00AF4B45">
      <w:pPr>
        <w:pStyle w:val="a3"/>
        <w:jc w:val="both"/>
      </w:pPr>
      <w:r w:rsidRPr="00AF4B45">
        <w:t xml:space="preserve">За 2002 год начисленная среднемесячная заработная плата на одного работника по полному кругу предприятий составила 15777 рублей, что в реальном исчислении на 5,7% выше уровня 2001 года, по Российской Федерации - 4426 рублей, прирост реальной заработной платы - 16,6 процента. </w:t>
      </w:r>
    </w:p>
    <w:p w:rsidR="00AF4B45" w:rsidRPr="00AF4B45" w:rsidRDefault="00AF4B45" w:rsidP="00AF4B45">
      <w:pPr>
        <w:pStyle w:val="a3"/>
        <w:jc w:val="both"/>
      </w:pPr>
      <w:r w:rsidRPr="00AF4B45">
        <w:t xml:space="preserve">В автономном округе сохраняется межотраслевая дифференциация оплаты труда. Среди отраслей экономики наиболее высокий уровень заработной платы отмечается у работников финансовых органов, учреждений кредитования и страхования (27955 рублей); в промышленности (22043 рублей), в том числе в нефтедобывающей (17590 рублей), газовой (27983 рублей); на транспорте (19249 рублей); связи (14714 рублей); в строительстве (16255 рублей). Самая низкая оплата труда - у работников сельского хозяйства (4335 рублей), здравоохранения (7222 рублей), образования (5719 рублей), культуры (6358 рублей). </w:t>
      </w:r>
    </w:p>
    <w:p w:rsidR="00AF4B45" w:rsidRPr="00AF4B45" w:rsidRDefault="00AF4B45" w:rsidP="00AF4B45">
      <w:pPr>
        <w:pStyle w:val="a3"/>
        <w:jc w:val="both"/>
      </w:pPr>
      <w:r w:rsidRPr="00AF4B45">
        <w:t xml:space="preserve">Темп роста средней заработной платы за 2002 год по сравнению с 2001 годом составил: в образовании - 180%, здравоохранении - 179,4%, культуре и искусстве - 156,1%, торговле и общественном питании - 133%, в связи - 140,3%, в сельском хозяйстве - 130,4%, жилищно-коммунальном хозяйстве - 129,2%, на транспорте - 126,5%, строительстве - 124,6%, промышленности -118,5 процента. </w:t>
      </w:r>
    </w:p>
    <w:p w:rsidR="00AF4B45" w:rsidRPr="00AF4B45" w:rsidRDefault="00AF4B45" w:rsidP="00AF4B45">
      <w:pPr>
        <w:pStyle w:val="a3"/>
        <w:jc w:val="both"/>
      </w:pPr>
      <w:r w:rsidRPr="00AF4B45">
        <w:t xml:space="preserve">Уровень средней заработной платы работников здравоохранения, образования, культуры соответственно составил 32,8%, 25,9%, 28,8% от уровня промышленности, что выше, чем в 2001 году (21,6%, 17,1%, 21,9%). </w:t>
      </w:r>
    </w:p>
    <w:p w:rsidR="00AF4B45" w:rsidRPr="00AF4B45" w:rsidRDefault="00DE0D70" w:rsidP="00AF4B45">
      <w:pPr>
        <w:pStyle w:val="a3"/>
        <w:jc w:val="both"/>
      </w:pPr>
      <w:r>
        <w:rPr>
          <w:noProof/>
        </w:rPr>
        <w:pict>
          <v:shape id="_x0000_s1034" type="#_x0000_t75" style="position:absolute;left:0;text-align:left;margin-left:-9pt;margin-top:64pt;width:369pt;height:227.05pt;z-index:-251655680" wrapcoords="117 272 117 21274 21405 21274 21405 272 117 272">
            <v:imagedata r:id="rId14" o:title="09"/>
            <w10:wrap type="tight"/>
          </v:shape>
        </w:pict>
      </w:r>
      <w:r w:rsidR="00AF4B45" w:rsidRPr="00AF4B45">
        <w:t xml:space="preserve">Наиболее высокий уровень оплаты труда сложился в центрах газодобычи: г. Надыме и Надымском районе (21788 рублей), г. Новом Уренгое (20002 рублей), наиболее низкий уровень - в сельских районах: Приуральском (6871 рублей), Шурышкарском (6052 рублей), Ямальском (7236 рублей). </w:t>
      </w:r>
    </w:p>
    <w:p w:rsidR="00AF4B45" w:rsidRPr="00AF4B45" w:rsidRDefault="00AF4B45" w:rsidP="00AF4B45">
      <w:pPr>
        <w:pStyle w:val="a3"/>
        <w:jc w:val="both"/>
      </w:pPr>
    </w:p>
    <w:p w:rsidR="00AF4B45" w:rsidRPr="00AF4B45" w:rsidRDefault="00AF4B45" w:rsidP="00AF4B45">
      <w:pPr>
        <w:pStyle w:val="a3"/>
        <w:jc w:val="both"/>
      </w:pPr>
      <w:r w:rsidRPr="00AF4B45">
        <w:t xml:space="preserve">На 01.01.2003 года средний размер месячных пенсий в автономном округе сложился в сумме 1906 рублей с приростом к соответствующему уровню 2001 года на 47%. В реальном исчислении средний размер месячных пенсий увеличился на 27,7 процента. </w:t>
      </w:r>
    </w:p>
    <w:p w:rsidR="00AF4B45" w:rsidRPr="00AF4B45" w:rsidRDefault="00DE0D70" w:rsidP="00AF4B45">
      <w:pPr>
        <w:pStyle w:val="a3"/>
        <w:jc w:val="both"/>
      </w:pPr>
      <w:r>
        <w:rPr>
          <w:noProof/>
        </w:rPr>
        <w:pict>
          <v:shape id="_x0000_s1035" type="#_x0000_t75" style="position:absolute;left:0;text-align:left;margin-left:0;margin-top:-.8pt;width:324pt;height:206.3pt;z-index:-251654656" wrapcoords="72 256 72 21217 21455 21217 21455 256 72 256">
            <v:imagedata r:id="rId15" o:title="10"/>
            <w10:wrap type="tight"/>
          </v:shape>
        </w:pict>
      </w:r>
      <w:r w:rsidR="00AF4B45" w:rsidRPr="00AF4B45">
        <w:t xml:space="preserve">В 2002 году общий объем расходов и сбережений населения автономного округа достиг 50,2 млрд. рублей или 62,5% от общей суммы доходов, темп роста к уровню 2001 года составил 32,5%. Таким образом, сумма наличных денег на руках у населения составила 30,1 млрд. рублей или 37,5 % от общей суммы доходов. </w:t>
      </w:r>
    </w:p>
    <w:p w:rsidR="00AF4B45" w:rsidRPr="00AF4B45" w:rsidRDefault="00AF4B45" w:rsidP="00AF4B45">
      <w:pPr>
        <w:pStyle w:val="a3"/>
        <w:jc w:val="both"/>
      </w:pPr>
      <w:r w:rsidRPr="00AF4B45">
        <w:t xml:space="preserve">Относительно низкие расходы населения в округе по сравнению с высокими доходами вызваны необеспеченностью платежеспособного спроса населения на непродовольственные товары длительного и периодического спроса и более высокими ценами на эти товары в округе по сравнению с южными регионами России. Также в округе наблюдаются большая численность выезжающих в длительные отпуска в летний период за пределы округа, относительно большие миграционные потоки и численность работающих вахтовым методом. Все эти факторы являются причиной вывоза денежной массы за пределы округа, что приводит к несбалансированности между доходами и расходами населения. </w:t>
      </w:r>
    </w:p>
    <w:p w:rsidR="00AF4B45" w:rsidRPr="00AF4B45" w:rsidRDefault="00DE0D70" w:rsidP="00AF4B45">
      <w:pPr>
        <w:pStyle w:val="a3"/>
        <w:jc w:val="both"/>
      </w:pPr>
      <w:r>
        <w:rPr>
          <w:noProof/>
        </w:rPr>
        <w:pict>
          <v:shape id="_x0000_s1036" type="#_x0000_t75" style="position:absolute;left:0;text-align:left;margin-left:0;margin-top:4.85pt;width:350.65pt;height:240.8pt;z-index:-251653632" wrapcoords="118 283 118 21260 21403 21260 21403 283 118 283">
            <v:imagedata r:id="rId16" o:title="11"/>
            <w10:wrap type="tight"/>
          </v:shape>
        </w:pict>
      </w:r>
      <w:r w:rsidR="00AF4B45" w:rsidRPr="00AF4B45">
        <w:t xml:space="preserve">По итогам за 2002 год в структуре использования денежных доходов населения доля потребительских расходов составила 38,6% против 35,7% в 2001 году, расходов на покупку валюты - 5,7%, на уровне 2001 года, оплаты обязательных платежей и взносов - 12,1% против 11,5% в 2001 году, накоплений сбережений во вкладах - 2,5% против 3,9% в 2001 году, других расходов - 3,6% против 2,1% в 2001 году, наличных денег на руках у населения - 37,5% против 41,2% в 2001 году. </w:t>
      </w:r>
    </w:p>
    <w:p w:rsidR="00AF4B45" w:rsidRPr="00AF4B45" w:rsidRDefault="00AF4B45" w:rsidP="00AF4B45">
      <w:pPr>
        <w:pStyle w:val="a3"/>
        <w:jc w:val="both"/>
      </w:pPr>
      <w:r w:rsidRPr="00AF4B45">
        <w:t xml:space="preserve">В 2002 году снизилась покупательная способность среднедушевых денежных доходов населения. Если в 2001 году среднедушевые денежные доходы населения превысили прожиточный минимум в 4,7 раза, в 2002 году - в 4,6 раза. </w:t>
      </w:r>
    </w:p>
    <w:p w:rsidR="00AF4B45" w:rsidRPr="00AF4B45" w:rsidRDefault="00AF4B45" w:rsidP="00AF4B45">
      <w:pPr>
        <w:pStyle w:val="a3"/>
        <w:jc w:val="both"/>
      </w:pPr>
      <w:r w:rsidRPr="00AF4B45">
        <w:t xml:space="preserve">Остается достаточно высоким уровень социального расслоения населения. Доходы 10% наиболее обеспеченного населения в 15 раз превышают доходы 10% наименее обеспеченного населения. Индекс Джини, характеризующий степень неравномерности распределения доходов, составил 0,411. </w:t>
      </w:r>
    </w:p>
    <w:p w:rsidR="00AF4B45" w:rsidRPr="00AF4B45" w:rsidRDefault="00AF4B45" w:rsidP="00AF4B45">
      <w:pPr>
        <w:pStyle w:val="a3"/>
        <w:jc w:val="both"/>
      </w:pPr>
      <w:r w:rsidRPr="00AF4B45">
        <w:t xml:space="preserve">В 2002 году прожиточный минимум в среднем на душу населения составил 2916 рублей, для трудоспособного населения - 3015 рублей, для пенсионеров - 2125 рублей, для детей - 2828 рублей. </w:t>
      </w:r>
    </w:p>
    <w:p w:rsidR="00AF4B45" w:rsidRPr="00AF4B45" w:rsidRDefault="00AF4B45" w:rsidP="00AF4B45">
      <w:pPr>
        <w:pStyle w:val="a3"/>
        <w:jc w:val="both"/>
      </w:pPr>
      <w:r w:rsidRPr="00AF4B45">
        <w:t xml:space="preserve">В округе численность населения с денежными доходами ниже прожиточного минимума составляет 11,5% от общей численности населения. Более высокие показатели бедности наблюдаются в сельских регионах округа. </w:t>
      </w:r>
    </w:p>
    <w:p w:rsidR="00AF4B45" w:rsidRPr="00AF4B45" w:rsidRDefault="00AF4B45" w:rsidP="00AF4B45">
      <w:pPr>
        <w:pStyle w:val="a3"/>
        <w:jc w:val="center"/>
      </w:pPr>
      <w:r w:rsidRPr="00AF4B45">
        <w:rPr>
          <w:b/>
          <w:bCs/>
        </w:rPr>
        <w:t>Социальная сфера</w:t>
      </w:r>
    </w:p>
    <w:p w:rsidR="00AF4B45" w:rsidRPr="00AF4B45" w:rsidRDefault="00AF4B45" w:rsidP="00AF4B45">
      <w:pPr>
        <w:pStyle w:val="a3"/>
        <w:jc w:val="both"/>
      </w:pPr>
      <w:r w:rsidRPr="00AF4B45">
        <w:rPr>
          <w:b/>
          <w:bCs/>
        </w:rPr>
        <w:t>Здравоохранение</w:t>
      </w:r>
      <w:r w:rsidRPr="00AF4B45">
        <w:t xml:space="preserve"> </w:t>
      </w:r>
    </w:p>
    <w:p w:rsidR="00AF4B45" w:rsidRPr="00AF4B45" w:rsidRDefault="00AF4B45" w:rsidP="00AF4B45">
      <w:pPr>
        <w:pStyle w:val="a3"/>
        <w:jc w:val="both"/>
      </w:pPr>
      <w:r w:rsidRPr="00AF4B45">
        <w:t xml:space="preserve">В 2002 году сеть медицинских учреждений в Ямало-Ненецком автономном округе представлена окружными и городскими больницами, центральными районными и районными больницами, перинатальным центром, сельскими участковыми больницами, диспансерами, амбулаторно-поликлиническими учреждениями, стоматологическими поликлиниками, здравпунктами, фельдшерско-акушерскими пунктами, станциями скорой медицинской помощи, СПИД центром, НИИ медицинских проблем Крайнего Севера Российской Академии МП РФ (в г. Надыме), Центром медицины катастроф. Число медицинских учреждений в автономном округе - 237 с общим числом больничных коек 5843 ед., из них в окружные - 19 учреждений, муниципальные - 187, ведомственные - 31. </w:t>
      </w:r>
    </w:p>
    <w:p w:rsidR="00AF4B45" w:rsidRPr="00AF4B45" w:rsidRDefault="00AF4B45" w:rsidP="00AF4B45">
      <w:pPr>
        <w:pStyle w:val="a3"/>
        <w:jc w:val="both"/>
      </w:pPr>
      <w:r w:rsidRPr="00AF4B45">
        <w:t xml:space="preserve">В сельских местностях автономного округа материально-техническая база большинства лечебно-профилактических учреждений остается неудовлетворительной: 60% зданий находятся в ветхом и аварийном состоянии, из них 40% - требуют реконструкции; 60 % - нуждаются в капитальном ремонте. Недостатки в развитии социально-бытовой инфраструктуры сельских районов оказывают неблагоприятное воздействие на состояние здоровья сельского населения округа и ограничивают возможности здравоохранения в проведении профилактических и лечебных мероприятий. В целях решения данной проблемы действует окружная программа "Строительство первоочередных объектов здравоохранения в сельской местности ЯНАО до 2005 года". </w:t>
      </w:r>
    </w:p>
    <w:p w:rsidR="00AF4B45" w:rsidRPr="00AF4B45" w:rsidRDefault="00AF4B45" w:rsidP="00AF4B45">
      <w:pPr>
        <w:pStyle w:val="a3"/>
        <w:jc w:val="both"/>
      </w:pPr>
      <w:r w:rsidRPr="00AF4B45">
        <w:t xml:space="preserve">В 2002 году обеспеченность населения по округу составила: </w:t>
      </w:r>
    </w:p>
    <w:p w:rsidR="00AF4B45" w:rsidRPr="00AF4B45" w:rsidRDefault="00AF4B45" w:rsidP="00AF4B45">
      <w:pPr>
        <w:pStyle w:val="a3"/>
        <w:jc w:val="both"/>
      </w:pPr>
      <w:r w:rsidRPr="00AF4B45">
        <w:t xml:space="preserve">- амбулаторно-поликлиническими учреждениями - 177,1 ед. на 10 тыс. населения, что составляет 97% от норматива, при этом, в Красноселькупском районе обеспеченность составила 386,7 ед. на 10 тыс. населения, а в г. Муравленко - 68,7 ед. </w:t>
      </w:r>
    </w:p>
    <w:p w:rsidR="00AF4B45" w:rsidRPr="00AF4B45" w:rsidRDefault="00AF4B45" w:rsidP="00AF4B45">
      <w:pPr>
        <w:pStyle w:val="a3"/>
        <w:jc w:val="both"/>
      </w:pPr>
      <w:r w:rsidRPr="00AF4B45">
        <w:t xml:space="preserve">- врачами - 38,8 человек на 10 тыс. населения или 94% от норматива. В целом по округу наблюдается неравномерность обеспеченностью врачами: в Салехарде она составляет 89,5 человек на 10 тыс. населения, а в Пуровском районе - 25,5 человек. </w:t>
      </w:r>
    </w:p>
    <w:p w:rsidR="00AF4B45" w:rsidRPr="00AF4B45" w:rsidRDefault="00AF4B45" w:rsidP="00AF4B45">
      <w:pPr>
        <w:pStyle w:val="a3"/>
        <w:jc w:val="both"/>
      </w:pPr>
      <w:r w:rsidRPr="00AF4B45">
        <w:t xml:space="preserve">- средним медицинским персоналом по округу - 114,1 человек на 10 тыс. населения, что соответствует нормативу. В разрезе муниципальных образований максимальная обеспеченность в Шурышкарском районе - 184,4 человека на 10 тыс. населения, минимальная - в г. Новый Уренгой - 88,8 человек на 10 тыс. населения. </w:t>
      </w:r>
    </w:p>
    <w:p w:rsidR="00AF4B45" w:rsidRPr="00AF4B45" w:rsidRDefault="00AF4B45" w:rsidP="00AF4B45">
      <w:pPr>
        <w:pStyle w:val="a3"/>
        <w:jc w:val="both"/>
      </w:pPr>
      <w:r w:rsidRPr="00AF4B45">
        <w:t xml:space="preserve">В течение 2002 года общий уровень заболеваемости в автономном округе повысился. Увеличение общей заболеваемости отмечено во всех возрастных группах с наибольшим процентом увеличения в группах "взрослые" и "подростки" на 11% и 17% соответственно. Первое место по заболеваемости во всех возрастных группах занимают болезни органов дыхания. За отчетный период показатели социально-значимых заболеваний в автономном округе в основном стабилизированы. При этом эпидемиологическая обстановка по туберкулезу остается напряженной. Показатель первичной заболеваемости в целом по округу составил 78,4 на 100 тыс. населения, что выше показателя 2001 года на 5,2, а с учетом впервые выявленных больных в системе УИН Минюста - 96,6 на 100 тысяч населения (в 2001 году - 85,4). Доля детей в структуре заболеваемости туберкулезом составила 6,2%. Общий показатель детской заболеваемости по округу снизился до 20,0 чел. на 100 тысяч населения против 26,4 чел. на 100 тысяч в 2001 году. В 2002 году показатель общей заболеваемости туберкулезом среди населения округа составил 296,9 на 100 тысяч населения (в 2001 году - 315,6). Среди коренного населения этот показатель выше в 4,5 раза, общая заболеваемость среди малочисленных народов Севера в ЯНАО достигла 1365,6 на 100 тысяч. Показатель смертности населения округа от туберкулеза в 2002 году достиг 12,4 на 100 тысяч населения (в 2001 году - 10,3 в 2001 году). </w:t>
      </w:r>
    </w:p>
    <w:p w:rsidR="00AF4B45" w:rsidRPr="00AF4B45" w:rsidRDefault="00AF4B45" w:rsidP="00AF4B45">
      <w:pPr>
        <w:pStyle w:val="a3"/>
        <w:jc w:val="both"/>
      </w:pPr>
      <w:r w:rsidRPr="00AF4B45">
        <w:t xml:space="preserve">Угрожающий характер имеет эпидемиологическая ситуация по туберкулезу в уголовно-исправительных учреждениях округа. Показатель заболеваемости граждан, находящихся в заключении, превысил среднеокружной уровень в 24 раза. </w:t>
      </w:r>
    </w:p>
    <w:p w:rsidR="00AF4B45" w:rsidRPr="00AF4B45" w:rsidRDefault="00AF4B45" w:rsidP="00AF4B45">
      <w:pPr>
        <w:pStyle w:val="a3"/>
        <w:jc w:val="both"/>
      </w:pPr>
      <w:r w:rsidRPr="00AF4B45">
        <w:t xml:space="preserve">В 2002 году в округе отмечено некоторое снижение темпов прироста новых случаев ВИЧ-инфекции по сравнению с 2001 годом, абсолютное число выявленных за отчетный год случаев заболевания составило 187. На начало 2003 года в округе зарегистрировано 776 ВИЧ-инфицированных, кроме того, на территории автономного округа проживают 52 ВИЧ-инфицированных, выявленных за пределами округа. Показатель заболеваемости по округу составил 153,5 на 100 тыс. населения. В 2002 году были зарегистрированы первые случаи ВИЧ-инфекции в Ямальском районе. </w:t>
      </w:r>
    </w:p>
    <w:p w:rsidR="00AF4B45" w:rsidRPr="00AF4B45" w:rsidRDefault="00AF4B45" w:rsidP="00AF4B45">
      <w:pPr>
        <w:pStyle w:val="a3"/>
        <w:jc w:val="both"/>
      </w:pPr>
      <w:r w:rsidRPr="00AF4B45">
        <w:t xml:space="preserve">Основные медико-социальные проблемы в регионе решаются программными методами. В автономном округе реализуется окружная целевая программа "Комплексные меры противодействия злоупотреблению наркотиками и их незаконному обороту на 2002-2004 годы" и комплексная целевая программа "Охрана здоровья населения и профилактика социально-значимых заболеваний в ЯНАО на 2002-2006 годы", включающая восемь подпрограмм, направленных на предупреждение распространения в округе заболеваний, вызываемых вирусами иммунодефицита человека (ВИЧ-инфекция), борьбу с туберкулезом, охрану материнства и детства, лечение больных сахарным диабетом, профилактику заболеваний, передаваемых половым путем и социально-гигиенический мониторинг за состоянием окружающей среды. Также в рамках комплексной программы осуществляются мероприятия по развитию и совершенствованию службы скорой и неотложной медицинской помощи населению и службы медицины катастроф и неотложных состояний в ЯНАО. </w:t>
      </w:r>
    </w:p>
    <w:p w:rsidR="00AF4B45" w:rsidRPr="00AF4B45" w:rsidRDefault="00AF4B45" w:rsidP="00AF4B45">
      <w:pPr>
        <w:pStyle w:val="a3"/>
        <w:jc w:val="both"/>
      </w:pPr>
      <w:r w:rsidRPr="00AF4B45">
        <w:t xml:space="preserve">В реализации государственной политики в системе здравоохранения автономного округа участвует окружной Фонд обязательного медицинского страхования (далее ОМС) ЯНАО. В систему ОМС входит 56 лечебно-профилактических учреждений (далее ЛПУ), из них 50 учреждений Минздрава РФ, одно учреждение РАМН НИИ, 5 ведомственных ЛПУ. Сельские медицинские учреждения - 15 участковых больниц и 2 районные больницы - в систему обязательного медицинского страхования были включены с 1 октября 2001 года, 14 врачебных сельских амбулаторий вошли в систему ОМС с 1 апреля 2002 года. Коечная сеть лечебно-профилактических учреждений, действующих в системе ОМС, на 1 января 2003 года составила 5264 койки, в том числе сельских ЛПУ - 460 коек. </w:t>
      </w:r>
    </w:p>
    <w:p w:rsidR="00AF4B45" w:rsidRPr="00AF4B45" w:rsidRDefault="00AF4B45" w:rsidP="00AF4B45">
      <w:pPr>
        <w:pStyle w:val="a3"/>
        <w:jc w:val="both"/>
      </w:pPr>
      <w:r w:rsidRPr="00AF4B45">
        <w:t xml:space="preserve">В 2002 году направлено 1477,1 млн. рублей средств ОМС в лечебно-профилактические учреждения округа. Кроме медицинской помощи, оказываемой в ЛПУ округа, 36630 человек получили медицинскую помощь за его пределами. За анализируемый год сумма оплаты медицинской помощи на других территориях РФ, оказанной жителям ЯНАО, составила 52,6 млн. рублей. </w:t>
      </w:r>
    </w:p>
    <w:p w:rsidR="00AF4B45" w:rsidRPr="00AF4B45" w:rsidRDefault="00AF4B45" w:rsidP="00AF4B45">
      <w:pPr>
        <w:pStyle w:val="a3"/>
      </w:pPr>
      <w:r w:rsidRPr="00AF4B45">
        <w:rPr>
          <w:b/>
          <w:bCs/>
        </w:rPr>
        <w:t>Образование</w:t>
      </w:r>
    </w:p>
    <w:p w:rsidR="00AF4B45" w:rsidRPr="00AF4B45" w:rsidRDefault="00AF4B45" w:rsidP="00AF4B45">
      <w:pPr>
        <w:pStyle w:val="a3"/>
        <w:jc w:val="both"/>
      </w:pPr>
      <w:r w:rsidRPr="00AF4B45">
        <w:t xml:space="preserve">Дошкольные образовательные учреждения. На начало 2003 года в округе действуют 161 бюджетное дошкольное образовательное учреждение на 23321 место. Численность детей, посещающих бюджетные дошкольные образовательные учреждения, - 22005. Кроме того, в городах Ноябрьск, Новый Уренгой, Надым и в Пуровском районе функционируют 35 ведомственных детских садов. В среднем по округу обеспеченность детскими дошкольными учреждениями составила 50% от численности детей соответствующего возраста. По г. Салехарду численность детей в детских садах существенно превышает количество мест, на которые они рассчитаны (на 1727 мест приходится 2021 ребенок). </w:t>
      </w:r>
    </w:p>
    <w:p w:rsidR="00AF4B45" w:rsidRPr="00AF4B45" w:rsidRDefault="00AF4B45" w:rsidP="00AF4B45">
      <w:pPr>
        <w:pStyle w:val="a3"/>
        <w:jc w:val="both"/>
      </w:pPr>
      <w:r w:rsidRPr="00AF4B45">
        <w:t xml:space="preserve">Общеобразовательные учреждения. По состоянию на начало 2002-2003 учебного года функционировало 123 общеобразовательных учреждения на 72563 места. Обеспеченность общеобразовательными учреждениями в среднем по автономному округу составила 87%, обеспеченность педагогическими кадрами - 93%. В Салехарде и Ямальском районе обеспеченность педагогическими кадрами составила 76% и 67 % соответственно. На начало 2002-2003 учебного года обеспеченность школ учебниками в среднем по округу составила 83%, учебными пособиями - 67 процентов. </w:t>
      </w:r>
    </w:p>
    <w:p w:rsidR="00AF4B45" w:rsidRPr="00AF4B45" w:rsidRDefault="00AF4B45" w:rsidP="00AF4B45">
      <w:pPr>
        <w:pStyle w:val="a3"/>
        <w:jc w:val="both"/>
      </w:pPr>
      <w:r w:rsidRPr="00AF4B45">
        <w:t xml:space="preserve">Общая численность учащихся в общеобразовательных учреждениях составляла 78464 человека. Недостаточно обеспечены общеобразовательными учреждениями г. Салехард, г. Новый Уренгой, г. Ноябрьск, г. Муравленко и г. Губкинский - в этих городах численность учащихся, посещающих общеобразовательные учреждения, превышает количество мест, на которые они рассчитаны. </w:t>
      </w:r>
    </w:p>
    <w:p w:rsidR="00AF4B45" w:rsidRPr="00AF4B45" w:rsidRDefault="00AF4B45" w:rsidP="00AF4B45">
      <w:pPr>
        <w:pStyle w:val="a3"/>
        <w:jc w:val="both"/>
      </w:pPr>
      <w:r w:rsidRPr="00AF4B45">
        <w:t xml:space="preserve">Кроме общеобразовательных, в округе существуют и специальные - коррекционно-образовательные учреждения (5 учреждений, в которых обучаются 581 человек), школы-интернаты (22 школы-интерната с общим контингентом учащихся 9432 человек) и санаторно-лесная школа в г. Салехарде. В 7 вечерних школах обучаются более 1500 человек, численность учащихся в которых на 60 % превышает существующее число мест. </w:t>
      </w:r>
    </w:p>
    <w:p w:rsidR="00AF4B45" w:rsidRPr="00AF4B45" w:rsidRDefault="00AF4B45" w:rsidP="00AF4B45">
      <w:pPr>
        <w:pStyle w:val="a3"/>
        <w:jc w:val="both"/>
      </w:pPr>
      <w:r w:rsidRPr="00AF4B45">
        <w:t xml:space="preserve">В городах и районах округа работают 9 детских домов, рассчитанных на 531 ребенка. Общее число воспитанников в детских домах - 445. Кроме того, в п. Кировский Исетского района Тюменской области функционирует окружной санаторный детский дом на 100 мест. </w:t>
      </w:r>
    </w:p>
    <w:p w:rsidR="00AF4B45" w:rsidRPr="00AF4B45" w:rsidRDefault="00AF4B45" w:rsidP="00AF4B45">
      <w:pPr>
        <w:pStyle w:val="a3"/>
        <w:jc w:val="both"/>
      </w:pPr>
      <w:r w:rsidRPr="00AF4B45">
        <w:t xml:space="preserve">Сеть начальных, средних и средних профессиональных образовательных учреждений состоит из 8 профессиональных училищ и одного лицея с общим контингентом 3550 учащихся, 9 средне-специальных учебных заведений, в которых в 2002-2003 учебном году обучаются 6079 студентов. В 2002-2003 учебном году произошло расширение перечня специальностей, по которым идет обучение в учреждениях начального и среднего профессионального образования: в профессиональном колледже г. Муравленко введено обучение по профессии "Социальный работник". </w:t>
      </w:r>
    </w:p>
    <w:p w:rsidR="00AF4B45" w:rsidRPr="00AF4B45" w:rsidRDefault="00AF4B45" w:rsidP="00AF4B45">
      <w:pPr>
        <w:pStyle w:val="a3"/>
        <w:jc w:val="both"/>
      </w:pPr>
      <w:r w:rsidRPr="00AF4B45">
        <w:t xml:space="preserve">На территории округа функционируют учреждения высшего образования: Западно-Сибирский гуманитарный институт и 35 подразделений ВУЗов России. В высших учебных заведениях округа в 2002-2003 г. получают образование 14000 студентов.Численность студентов-ямальцев, обучающихся в ВУЗах юга Тюменской области за счет средств бюджета округа, составляет на начало 2002-2003 учебного года 220 человек. </w:t>
      </w:r>
    </w:p>
    <w:p w:rsidR="00AF4B45" w:rsidRPr="00AF4B45" w:rsidRDefault="00AF4B45" w:rsidP="00AF4B45">
      <w:pPr>
        <w:pStyle w:val="a3"/>
        <w:jc w:val="both"/>
      </w:pPr>
      <w:r w:rsidRPr="00AF4B45">
        <w:t xml:space="preserve">Из числа коренных малочисленных народов Севера в общеобразовательных учреждениях обучаются 2229 человек, в специальных школах -75 человек, в школах-интернатах - 7406 человек. Профессиональное образование учащиеся из числа коренных малочисленных народов Севера получают в ПТУ - 273 человек, ССУЗах - 188 человек. </w:t>
      </w:r>
    </w:p>
    <w:p w:rsidR="00AF4B45" w:rsidRPr="00AF4B45" w:rsidRDefault="00AF4B45" w:rsidP="00AF4B45">
      <w:pPr>
        <w:pStyle w:val="a3"/>
        <w:jc w:val="both"/>
      </w:pPr>
      <w:r w:rsidRPr="00AF4B45">
        <w:t xml:space="preserve">Существует проблема износа и старения материально-технической базы учреждений образования. Около 40% образовательных учреждений расположены в ветхих, аварийных и пожароопасных зданиях. </w:t>
      </w:r>
    </w:p>
    <w:p w:rsidR="00AF4B45" w:rsidRPr="00AF4B45" w:rsidRDefault="00AF4B45" w:rsidP="00AF4B45">
      <w:pPr>
        <w:pStyle w:val="a3"/>
        <w:jc w:val="both"/>
      </w:pPr>
      <w:r w:rsidRPr="00AF4B45">
        <w:t xml:space="preserve">На решение этой проблемы ориентированы окружные целевые программы строительства и реконструкции первоочередных объектов образования в сельской местности, реализуемые в рамках комплексной целевой программы по развитию образования до 2005 года. </w:t>
      </w:r>
    </w:p>
    <w:p w:rsidR="00AF4B45" w:rsidRPr="00AF4B45" w:rsidRDefault="00AF4B45" w:rsidP="00AF4B45">
      <w:pPr>
        <w:pStyle w:val="a3"/>
        <w:jc w:val="both"/>
      </w:pPr>
      <w:r w:rsidRPr="00AF4B45">
        <w:rPr>
          <w:b/>
          <w:bCs/>
        </w:rPr>
        <w:t>Культура, молодежная политика, физическая культура и спорт</w:t>
      </w:r>
      <w:r w:rsidRPr="00AF4B45">
        <w:t xml:space="preserve"> </w:t>
      </w:r>
    </w:p>
    <w:p w:rsidR="00AF4B45" w:rsidRPr="00AF4B45" w:rsidRDefault="00AF4B45" w:rsidP="00AF4B45">
      <w:pPr>
        <w:pStyle w:val="a3"/>
        <w:jc w:val="both"/>
      </w:pPr>
      <w:r w:rsidRPr="00AF4B45">
        <w:t xml:space="preserve">Культура. В настоящее время в Ямало-Ненецком автономном округе функционируют 256 учреждений культуры, из них учреждений клубного типа - 80, музеев - 19, библиотек - 100, образовательных учреждений культуры и искусства - 42, прочих учреждений культуры - 15. </w:t>
      </w:r>
    </w:p>
    <w:p w:rsidR="00AF4B45" w:rsidRPr="00AF4B45" w:rsidRDefault="00AF4B45" w:rsidP="00AF4B45">
      <w:pPr>
        <w:pStyle w:val="a3"/>
        <w:jc w:val="both"/>
      </w:pPr>
      <w:r w:rsidRPr="00AF4B45">
        <w:t xml:space="preserve">В целях развития музейно-выставочного дела и повышения статуса музея в автономном округе было принято решение о создании государственного учреждения "Ямало-Ненецкий окружной музейно-выставочного комплекс им. И.С. Шемановского" путем слияния ГУ "Ямало-Ненецкий окружной краеведческий музей им. И.С. Шемановского" и ГУ "Выставочный центр". </w:t>
      </w:r>
    </w:p>
    <w:p w:rsidR="00AF4B45" w:rsidRPr="00AF4B45" w:rsidRDefault="00AF4B45" w:rsidP="00AF4B45">
      <w:pPr>
        <w:pStyle w:val="a3"/>
        <w:jc w:val="both"/>
      </w:pPr>
      <w:r w:rsidRPr="00AF4B45">
        <w:t xml:space="preserve">Продолжается процесс формирования внутрирегиональных коммуникационных систем. В рамках реализации окружной целевой программы "Культура Ямала" была приобретена программа по электронной каталогизации "ИРБИС" для центральных библиотек округа. Следующим этапом работ по данному направлению должно стать объединение библиотек округа в единую информационную библиотечную сеть, обеспечивающую их корпоративную работу в сетях передачи данных. Активизировался и процесс информатизации музеев округа: в централизованном порядке была закуплена для 6 музеев округа комплексная автоматизированная музейная информационная система "КАМИС". </w:t>
      </w:r>
    </w:p>
    <w:p w:rsidR="00AF4B45" w:rsidRPr="00AF4B45" w:rsidRDefault="00AF4B45" w:rsidP="00AF4B45">
      <w:pPr>
        <w:pStyle w:val="a3"/>
        <w:jc w:val="both"/>
      </w:pPr>
      <w:r w:rsidRPr="00AF4B45">
        <w:t xml:space="preserve">Следует отметить возросшую активность библиотек в отношении различных социально незащищенных слоев населения. В муниципальных образованиях г. Ноябрьск, г. Надым и Надымский район и Пуровский район накоплен опыт обслуживания слепых и слабовидящих читателей. В рамках программы "Культура Ямала" выделяются средства на приобретение специальных технических средств (тифломагнитолы, говорящие книги и пр.). </w:t>
      </w:r>
    </w:p>
    <w:p w:rsidR="00AF4B45" w:rsidRPr="00AF4B45" w:rsidRDefault="00AF4B45" w:rsidP="00AF4B45">
      <w:pPr>
        <w:pStyle w:val="a3"/>
        <w:jc w:val="both"/>
      </w:pPr>
      <w:r w:rsidRPr="00AF4B45">
        <w:t xml:space="preserve">Молодежная политика. В автономном округе действует около 80 детских и молодежных объединений, работающих с различными категориями детей, подростков и молодежи. </w:t>
      </w:r>
    </w:p>
    <w:p w:rsidR="00AF4B45" w:rsidRPr="00AF4B45" w:rsidRDefault="00AF4B45" w:rsidP="00AF4B45">
      <w:pPr>
        <w:pStyle w:val="a3"/>
        <w:jc w:val="both"/>
      </w:pPr>
      <w:r w:rsidRPr="00AF4B45">
        <w:t xml:space="preserve">Позитивную роль по преодолению негативных тенденций в молодежной среде играет грамотно поставленная работа по организации отдыха и оздоровления детей и подростков. Для координации данной деятельности, объединения ресурсов и информационно-методического обмена создана региональная общественная организация "Ассоциация детских и молодежных лагерей Ямала", в которую вошли 11 наиболее популярных среди молодежи округа лагерей. Организованным отдыхом и оздоровлением в 2002 году охвачено более 50 тысяч детей. </w:t>
      </w:r>
    </w:p>
    <w:p w:rsidR="00AF4B45" w:rsidRPr="00AF4B45" w:rsidRDefault="00AF4B45" w:rsidP="00AF4B45">
      <w:pPr>
        <w:pStyle w:val="a3"/>
        <w:jc w:val="both"/>
      </w:pPr>
      <w:r w:rsidRPr="00AF4B45">
        <w:t xml:space="preserve">Оказание социальной помощи детям, подросткам и молодежи осуществляется через создание и развитие консультационных служб для молодежи, телефонов доверия, психологических служб, которые находятся в гг. Ноябрьск, Новый Уренгой, Муравленко и Тазовском районе. Эти службы оказывают комплексную психолого-педагогическую, медико-социальную и правовую помощь подросткам и молодежи. </w:t>
      </w:r>
    </w:p>
    <w:p w:rsidR="00AF4B45" w:rsidRPr="00AF4B45" w:rsidRDefault="00AF4B45" w:rsidP="00AF4B45">
      <w:pPr>
        <w:pStyle w:val="a3"/>
        <w:jc w:val="both"/>
      </w:pPr>
      <w:r w:rsidRPr="00AF4B45">
        <w:t xml:space="preserve">В 2002 году была оказана помощь 12354 несовершеннолетним, трудоустроено 7199 подростков, направлены в трудовые и спортивные лагеря 964 подростка, состоявших на учёте в органах по делам несовершеннолетних. Совместно с сотрудниками отдела по делам несовершеннолетних ГОВД и участковыми уполномоченными милиции проведено 305 совместных рейдов по местам массового отдыха подростков, посещено 5930 неблагополучных семей. </w:t>
      </w:r>
    </w:p>
    <w:p w:rsidR="00AF4B45" w:rsidRPr="00AF4B45" w:rsidRDefault="00AF4B45" w:rsidP="00AF4B45">
      <w:pPr>
        <w:pStyle w:val="a3"/>
        <w:jc w:val="both"/>
      </w:pPr>
      <w:r w:rsidRPr="00AF4B45">
        <w:t xml:space="preserve">Большой интерес у молодежи округа к созданию патриотических, военно-спортивных клубов, кружков и кадетских классов. В семи муниципальных образованиях автономного округа открыто 22 специализированных класса военно-патриотической и гражданско-правовой направленности. Развиваются авиационно-технические и военно-прикладные виды спорта, осуществляется летная и парашютная подготовка подростков по программам: "Купол", "Крыло", "Тайфун". Программе авиационно-технического спортивного клуба "Купол" Ноябрьского комитета по делам семьи и молодежи присвоен гранд II степени Всероссийского конкурса программ и проектов по патриотическому воспитанию молодежи. </w:t>
      </w:r>
    </w:p>
    <w:p w:rsidR="00AF4B45" w:rsidRPr="00AF4B45" w:rsidRDefault="00AF4B45" w:rsidP="00AF4B45">
      <w:pPr>
        <w:pStyle w:val="a3"/>
        <w:jc w:val="both"/>
      </w:pPr>
      <w:r w:rsidRPr="00AF4B45">
        <w:t xml:space="preserve">В округе среди образовательных учреждений традиционно проводятся военно-спортивные соревнования "Командарм", среди допризывной молодежи соревнования по военно-прикладным видам спорта. Общее количество юношей, участвующих в данных мероприятиях, составляет более 1000 человек. Стало традицией проведение ежегодного окружного фестиваля патриотической песни, лауреаты и дипломанты которого участвуют во Всероссийских конкурсах и фестивалях. </w:t>
      </w:r>
    </w:p>
    <w:p w:rsidR="00AF4B45" w:rsidRPr="00AF4B45" w:rsidRDefault="00AF4B45" w:rsidP="00AF4B45">
      <w:pPr>
        <w:pStyle w:val="a3"/>
        <w:jc w:val="both"/>
      </w:pPr>
      <w:r w:rsidRPr="00AF4B45">
        <w:t xml:space="preserve">Физическая культура и спорт. Для развития массовой физической культуры в автономном округе имеются 683 спортивных сооружения, в том числе: два Ледовых Дворца, один легкоатлетический манеж, 272 спортивных зала, 25 крытых плавательных бассейнов, 25 лыжных баз, 17 стрелковых тиров, 89 плоскостных сооружений (спортивных площадок и полей). В сравнении с социальными нормами обеспеченность автономного округа спортивными сооружениями составляет 18,6 процентов. </w:t>
      </w:r>
    </w:p>
    <w:p w:rsidR="00AF4B45" w:rsidRPr="00AF4B45" w:rsidRDefault="00AF4B45" w:rsidP="00AF4B45">
      <w:pPr>
        <w:pStyle w:val="a3"/>
        <w:jc w:val="both"/>
      </w:pPr>
      <w:r w:rsidRPr="00AF4B45">
        <w:t xml:space="preserve">Ведется работа по развитию детско-юношеского, молодежного самодеятельного туризма. Ежегодно проводится фестиваль туристов и путешественников "Северное сияние", осенние туристские слеты "Северные просторы", охватывающие до 1000 участников. </w:t>
      </w:r>
    </w:p>
    <w:p w:rsidR="00AF4B45" w:rsidRPr="00AF4B45" w:rsidRDefault="00AF4B45" w:rsidP="00AF4B45">
      <w:pPr>
        <w:pStyle w:val="a3"/>
        <w:jc w:val="both"/>
      </w:pPr>
      <w:r w:rsidRPr="00AF4B45">
        <w:rPr>
          <w:b/>
          <w:bCs/>
        </w:rPr>
        <w:t>Пенсионное обеспечение</w:t>
      </w:r>
      <w:r w:rsidRPr="00AF4B45">
        <w:t xml:space="preserve"> </w:t>
      </w:r>
    </w:p>
    <w:p w:rsidR="00AF4B45" w:rsidRPr="00AF4B45" w:rsidRDefault="00AF4B45" w:rsidP="00AF4B45">
      <w:pPr>
        <w:pStyle w:val="a3"/>
        <w:jc w:val="both"/>
      </w:pPr>
      <w:r w:rsidRPr="00AF4B45">
        <w:t xml:space="preserve">На территории Ямало-Ненецкого автономного округа на 1 января 2003 года зарегистрировано 73638 пенсионеров, из них работающих - 31790 человек. Средний размер пенсии на 1 января 2003 года составил 1906 рублей, что по отношению к 1 января 2002 года составляет 147%. Трудовые пенсии получают 68500 человек, из них: </w:t>
      </w:r>
    </w:p>
    <w:p w:rsidR="00AF4B45" w:rsidRPr="00AF4B45" w:rsidRDefault="00AF4B45" w:rsidP="00AF4B45">
      <w:pPr>
        <w:pStyle w:val="a3"/>
        <w:jc w:val="both"/>
      </w:pPr>
      <w:r w:rsidRPr="00AF4B45">
        <w:t xml:space="preserve">- по старости - 53001 человек, средний размер пенсии по этой категории составил 2173,6 рубля; </w:t>
      </w:r>
    </w:p>
    <w:p w:rsidR="00AF4B45" w:rsidRPr="00AF4B45" w:rsidRDefault="00AF4B45" w:rsidP="00AF4B45">
      <w:pPr>
        <w:pStyle w:val="a3"/>
        <w:jc w:val="both"/>
      </w:pPr>
      <w:r w:rsidRPr="00AF4B45">
        <w:t xml:space="preserve">- по инвалидности - 5306 человек, средний размер пенсии по этой категории составил 1539,9 рубля; </w:t>
      </w:r>
    </w:p>
    <w:p w:rsidR="00AF4B45" w:rsidRPr="00AF4B45" w:rsidRDefault="00AF4B45" w:rsidP="00AF4B45">
      <w:pPr>
        <w:pStyle w:val="a3"/>
        <w:jc w:val="both"/>
      </w:pPr>
      <w:r w:rsidRPr="00AF4B45">
        <w:t xml:space="preserve">- по случаю потери кормильца - 10193 человека, средний размер пенсии по этой категории составил 992,5 рубля. </w:t>
      </w:r>
    </w:p>
    <w:p w:rsidR="00AF4B45" w:rsidRPr="00AF4B45" w:rsidRDefault="00AF4B45" w:rsidP="00AF4B45">
      <w:pPr>
        <w:pStyle w:val="a3"/>
        <w:jc w:val="both"/>
      </w:pPr>
      <w:r w:rsidRPr="00AF4B45">
        <w:t xml:space="preserve">Пенсии по государственному пенсионному обеспечению в округе получают 5138 человек, из них: </w:t>
      </w:r>
    </w:p>
    <w:p w:rsidR="00AF4B45" w:rsidRPr="00AF4B45" w:rsidRDefault="00AF4B45" w:rsidP="00AF4B45">
      <w:pPr>
        <w:pStyle w:val="a3"/>
        <w:jc w:val="both"/>
      </w:pPr>
      <w:r w:rsidRPr="00AF4B45">
        <w:t xml:space="preserve">- пенсии военнослужащих и их семей - 85 человек, средний размер пенсии по этой категории составил 1633,9 рубля; </w:t>
      </w:r>
    </w:p>
    <w:p w:rsidR="00AF4B45" w:rsidRPr="00AF4B45" w:rsidRDefault="00AF4B45" w:rsidP="00AF4B45">
      <w:pPr>
        <w:pStyle w:val="a3"/>
        <w:jc w:val="both"/>
      </w:pPr>
      <w:r w:rsidRPr="00AF4B45">
        <w:t xml:space="preserve">- пенсионеры, пострадавшие в результате радиационных или техногенных катастроф - 114 человек, средний размер пенсии по этой категории составил 1907,5 рубля; </w:t>
      </w:r>
    </w:p>
    <w:p w:rsidR="00AF4B45" w:rsidRPr="00AF4B45" w:rsidRDefault="00AF4B45" w:rsidP="00AF4B45">
      <w:pPr>
        <w:pStyle w:val="a3"/>
        <w:jc w:val="both"/>
      </w:pPr>
      <w:r w:rsidRPr="00AF4B45">
        <w:t xml:space="preserve">- пенсионеры-госслужащие - 16 человек, средний размер пенсии по этой категории составил 3385,1 рубля; </w:t>
      </w:r>
    </w:p>
    <w:p w:rsidR="00AF4B45" w:rsidRPr="00AF4B45" w:rsidRDefault="00AF4B45" w:rsidP="00AF4B45">
      <w:pPr>
        <w:pStyle w:val="a3"/>
        <w:jc w:val="both"/>
      </w:pPr>
      <w:r w:rsidRPr="00AF4B45">
        <w:t xml:space="preserve">- социальные пенсии - 4923 человека, средний размер пенсии по этой категории составил 1 308,1 рубля. </w:t>
      </w:r>
    </w:p>
    <w:p w:rsidR="00AF4B45" w:rsidRPr="00AF4B45" w:rsidRDefault="00AF4B45" w:rsidP="00AF4B45">
      <w:pPr>
        <w:pStyle w:val="a3"/>
        <w:jc w:val="both"/>
      </w:pPr>
      <w:r w:rsidRPr="00AF4B45">
        <w:t xml:space="preserve">Расходы на выплату пенсий за 2002 год составили 1568,1 млн. рублей. Управлениями (отделами) Пенсионного фонда РФ по ЯНАО за 2002 год назначено 7739 пенсий. На территорию автономного округа прибыло из других регионов России 1076 получателей пенсий. За этот же период выбыло в связи с выездом за пределы автономного округа 2744 получателей пенсий. </w:t>
      </w:r>
    </w:p>
    <w:p w:rsidR="00AF4B45" w:rsidRPr="00AF4B45" w:rsidRDefault="00AF4B45" w:rsidP="00AF4B45">
      <w:pPr>
        <w:pStyle w:val="a3"/>
        <w:jc w:val="both"/>
      </w:pPr>
      <w:r w:rsidRPr="00AF4B45">
        <w:rPr>
          <w:b/>
          <w:bCs/>
        </w:rPr>
        <w:t xml:space="preserve">Социальное обеспечение населения </w:t>
      </w:r>
    </w:p>
    <w:p w:rsidR="00AF4B45" w:rsidRPr="00AF4B45" w:rsidRDefault="00AF4B45" w:rsidP="00AF4B45">
      <w:pPr>
        <w:pStyle w:val="a3"/>
        <w:jc w:val="both"/>
      </w:pPr>
      <w:r w:rsidRPr="00AF4B45">
        <w:t xml:space="preserve">За последние годы в округе расширилась сеть учреждений социального обслуживания населения. В муниципальных образованиях работают 13 учреждений, оказывающих социальные услуги: </w:t>
      </w:r>
    </w:p>
    <w:p w:rsidR="00AF4B45" w:rsidRPr="00AF4B45" w:rsidRDefault="00AF4B45" w:rsidP="00AF4B45">
      <w:pPr>
        <w:pStyle w:val="a3"/>
      </w:pPr>
      <w:r w:rsidRPr="00AF4B45">
        <w:t xml:space="preserve">г. Салехард - муниципальный социально-реабилитационный центр для несовершеннолетних "Доверие" и центр социальной помощи населению, </w:t>
      </w:r>
    </w:p>
    <w:p w:rsidR="00AF4B45" w:rsidRPr="00AF4B45" w:rsidRDefault="00AF4B45" w:rsidP="00AF4B45">
      <w:pPr>
        <w:pStyle w:val="a3"/>
      </w:pPr>
      <w:r w:rsidRPr="00AF4B45">
        <w:t xml:space="preserve">г. Губкинский - центр социальной помощи семье и детям, </w:t>
      </w:r>
    </w:p>
    <w:p w:rsidR="00AF4B45" w:rsidRPr="00AF4B45" w:rsidRDefault="00AF4B45" w:rsidP="00AF4B45">
      <w:pPr>
        <w:pStyle w:val="a3"/>
      </w:pPr>
      <w:r w:rsidRPr="00AF4B45">
        <w:t xml:space="preserve">г. Ноябрьск - социальный приют для детей и центр реабилитации инвалидов, </w:t>
      </w:r>
    </w:p>
    <w:p w:rsidR="00AF4B45" w:rsidRPr="00AF4B45" w:rsidRDefault="00AF4B45" w:rsidP="00AF4B45">
      <w:pPr>
        <w:pStyle w:val="a3"/>
      </w:pPr>
      <w:r w:rsidRPr="00AF4B45">
        <w:t xml:space="preserve">г.Муравленко - социальный приют для детей и подростков "Солнечный", </w:t>
      </w:r>
    </w:p>
    <w:p w:rsidR="00AF4B45" w:rsidRPr="00AF4B45" w:rsidRDefault="00AF4B45" w:rsidP="00AF4B45">
      <w:pPr>
        <w:pStyle w:val="a3"/>
      </w:pPr>
      <w:r w:rsidRPr="00AF4B45">
        <w:t xml:space="preserve">Пуровский район - социальный приют для несовершеннолетних "Луч надежды" и центр социальной помощи населению, </w:t>
      </w:r>
    </w:p>
    <w:p w:rsidR="00AF4B45" w:rsidRPr="00AF4B45" w:rsidRDefault="00AF4B45" w:rsidP="00AF4B45">
      <w:pPr>
        <w:pStyle w:val="a3"/>
      </w:pPr>
      <w:r w:rsidRPr="00AF4B45">
        <w:t xml:space="preserve">Красноселькупский район - социальный приют для детей и подростков и дом-интернат для престарелых и инвалидов, </w:t>
      </w:r>
    </w:p>
    <w:p w:rsidR="00AF4B45" w:rsidRPr="00AF4B45" w:rsidRDefault="00AF4B45" w:rsidP="00AF4B45">
      <w:pPr>
        <w:pStyle w:val="a3"/>
      </w:pPr>
      <w:r w:rsidRPr="00AF4B45">
        <w:t xml:space="preserve">г. Новый Уренгой - центр социальной помощи населению, </w:t>
      </w:r>
    </w:p>
    <w:p w:rsidR="00AF4B45" w:rsidRPr="00AF4B45" w:rsidRDefault="00AF4B45" w:rsidP="00AF4B45">
      <w:pPr>
        <w:pStyle w:val="a3"/>
      </w:pPr>
      <w:r w:rsidRPr="00AF4B45">
        <w:t xml:space="preserve">Тазовский район - дом-интернат для престарелых и инвалидов, </w:t>
      </w:r>
    </w:p>
    <w:p w:rsidR="00AF4B45" w:rsidRPr="00AF4B45" w:rsidRDefault="00AF4B45" w:rsidP="00AF4B45">
      <w:pPr>
        <w:pStyle w:val="a3"/>
      </w:pPr>
      <w:r w:rsidRPr="00AF4B45">
        <w:t xml:space="preserve">Лабытнанги п.Харп - госучреждение социального обслуживания населения "Мядико". </w:t>
      </w:r>
    </w:p>
    <w:p w:rsidR="00AF4B45" w:rsidRPr="00AF4B45" w:rsidRDefault="00AF4B45" w:rsidP="00AF4B45">
      <w:pPr>
        <w:pStyle w:val="a3"/>
        <w:jc w:val="both"/>
      </w:pPr>
      <w:r w:rsidRPr="00AF4B45">
        <w:t xml:space="preserve">В 2002 году стационарами и отделениями дневного пребывания этих учреждений была оказана помощь 7837 человекам.Кроме того, комитетами социальной защиты населения муниципальных образований постоянно оказывается социальная помощь на дому нуждающимся гражданам: социально-медицинские, социально-психологические, социально-бытовые, правовые, информационные и многие другие услуги, предоставляемые детям-сиротам, детям, оставшимся без попечения родителей и детям, попавшим в трудную жизненную ситуацию, малообеспеченным и многодетным семьям, инвалидам и ветеранам. </w:t>
      </w:r>
    </w:p>
    <w:p w:rsidR="00AF4B45" w:rsidRPr="00AF4B45" w:rsidRDefault="00AF4B45" w:rsidP="00AF4B45">
      <w:pPr>
        <w:pStyle w:val="a3"/>
        <w:jc w:val="both"/>
      </w:pPr>
      <w:r w:rsidRPr="00AF4B45">
        <w:rPr>
          <w:b/>
          <w:bCs/>
        </w:rPr>
        <w:t>Жилищная политика</w:t>
      </w:r>
      <w:r w:rsidRPr="00AF4B45">
        <w:t xml:space="preserve"> </w:t>
      </w:r>
    </w:p>
    <w:p w:rsidR="00AF4B45" w:rsidRPr="00AF4B45" w:rsidRDefault="00AF4B45" w:rsidP="00AF4B45">
      <w:pPr>
        <w:pStyle w:val="a3"/>
        <w:jc w:val="both"/>
      </w:pPr>
      <w:r w:rsidRPr="00AF4B45">
        <w:t xml:space="preserve">Общий объем жилищного фонда в автономном округе на начало 2002 года составил 8705,4 тыс. кв. м, что на 2% выше показателя 2001 года. В настоящее время показатель среднедушевой обеспеченности жильем по Ямало-Ненецкому автономному округу составляет 17,2 кв. м общей жилой площади на человека, что ниже среднероссийского уровня на 2,0 кв. м. Самый высокий показатель обеспеченности в г. Надым (21,2 кв. м/чел) и г. Салехарде (20,3 кв. м/чел). Минимальный показатель обеспеченности по округу в Тазовском, Приуральском, Шурышкарском районах (11,5 кв. м/чел). Без учета ветхого и аварийного жилищного фонда данный показатель изменяется. Наименьший показатель обеспеченности без учета ветхого жилфонда в Приуральском районе (4,9 кв. м/чел), наибольший - в г. Надым (20,7 кв. м/чел). </w:t>
      </w:r>
    </w:p>
    <w:p w:rsidR="00AF4B45" w:rsidRPr="00AF4B45" w:rsidRDefault="00AF4B45" w:rsidP="00AF4B45">
      <w:pPr>
        <w:pStyle w:val="a3"/>
        <w:jc w:val="both"/>
      </w:pPr>
      <w:r w:rsidRPr="00AF4B45">
        <w:t xml:space="preserve">Четверть жилищного фонда автономного округа составляют индивидуальные жилые дома и однокомнатные квартиры. Около половины фонда составляют двухкомнатные квартиры и только треть жилищ состоит из трёх и более комнат. </w:t>
      </w:r>
    </w:p>
    <w:p w:rsidR="00AF4B45" w:rsidRPr="00AF4B45" w:rsidRDefault="00AF4B45" w:rsidP="00AF4B45">
      <w:pPr>
        <w:pStyle w:val="a3"/>
        <w:jc w:val="both"/>
      </w:pPr>
      <w:r w:rsidRPr="00AF4B45">
        <w:t xml:space="preserve">Около 58% всего жилфонда автономного округа сосредоточено в городах Ноябрьск, Надым и Новый Уренгой. На шесть сельских районов автономного округа приходится менее 16% общего объема жилфонда. Примерно одинакова доля в общем объеме жилфонда у муниципальных образований г. Салехард, г. Лабытнанги, Пуровский район. </w:t>
      </w:r>
    </w:p>
    <w:p w:rsidR="00AF4B45" w:rsidRPr="00AF4B45" w:rsidRDefault="00AF4B45" w:rsidP="00AF4B45">
      <w:pPr>
        <w:pStyle w:val="a3"/>
        <w:jc w:val="both"/>
      </w:pPr>
      <w:r w:rsidRPr="00AF4B45">
        <w:t xml:space="preserve">Общий объем ветхого и аварийного жилищного фонда всех форм собственности по данным Тюменского областного комитета государственной статистики составил 806,5 тыс. кв. метров, по данным администраций муниципальных образований объем ветхого и аварийного жилищного фонда - 1294,8 тыс. кв. метров или 14,9% от общего объема жилфонда округа. Для городов автономного округа проблема ветхого жилья включает наличие многочисленных "вагон-городков", "промзон" и других видов построек, приспособленных для временного проживания граждан. Данные помещения, приспособленные для временного проживания, достались муниципальным образованиям в "наследство" от ведомств, осваивающих в 70-80 годы нефтегазовые месторождения ЯНАО. Для сельских районов проблема ветхого жилья заключается в наличии большого объема жилфонда в деревянном исполнении постройки до 1980 года без благоустройства и минимального набора потребительских качеств, отвечающих санитарно-техническим требованиям. Наибольший удельный вес ветхого жилья в общем объеме жилфонда занимает ветхое жилье в Приуральском районе (58%). В Ямальском районе ветхий жилищный фонд составляет 19%, в Салехарде и Шурышкарском районе более 14%. Прирост ветхого жилья в автономном округе ежегодно составляет 15-17% (около 90 тыс. кв. м), наиболее быстрыми темпами идет обветшание деревянного жилфонда. </w:t>
      </w:r>
    </w:p>
    <w:p w:rsidR="00AF4B45" w:rsidRPr="00AF4B45" w:rsidRDefault="00AF4B45" w:rsidP="00AF4B45">
      <w:pPr>
        <w:pStyle w:val="a3"/>
        <w:jc w:val="both"/>
      </w:pPr>
      <w:r w:rsidRPr="00AF4B45">
        <w:t xml:space="preserve">Ввод жилья на территории автономного округа за счет всех источников составил 156,1 тыс. кв. метров общей площади, что на 32,5% выше уровня 2001 года. На долю г. Салехарда пришлось 55% введенного в 2002 году жилья. </w:t>
      </w:r>
    </w:p>
    <w:p w:rsidR="00AF4B45" w:rsidRPr="00AF4B45" w:rsidRDefault="00AF4B45" w:rsidP="00AF4B45">
      <w:pPr>
        <w:pStyle w:val="a3"/>
        <w:jc w:val="both"/>
      </w:pPr>
      <w:r w:rsidRPr="00AF4B45">
        <w:t xml:space="preserve">В целом по автономному округу на начало 2002 года на учете состояло 35,4 тыс. семей, нуждающихся в улучшении жилищных условий, что составило 21% от общей численности населения округа. В сельских районах по состоянию на 1 января 2002 года на учете состояло 5,9 тыс. семей (22,4% от общей численности населения сельских районов). Число очередников в течение последних лет продолжает расти. Наибольший удельный вес очередников в общей численности населения приходится на Приуральский район (40%), наименьший - в Пуровском районе (12%). В 2001 году улучшили свои жилищные условия 2191 семья (6,2% от числа семей состоящих на учете), из них 482 сельских семьи (8% от числа семей, состоящих на учете и проживающих в сельской местности). Общая площадь квартир, заселенных семьями, состоящими на учете нуждающихся в улучшении жилищных условий, составила на конец 2001 года 112,5 тыс. кв. м, из них 23,3 тыс. кв. метров - семьями, проживающими в сельских районах. </w:t>
      </w:r>
    </w:p>
    <w:p w:rsidR="00AF4B45" w:rsidRPr="00AF4B45" w:rsidRDefault="00AF4B45" w:rsidP="00AF4B45">
      <w:pPr>
        <w:pStyle w:val="a3"/>
        <w:jc w:val="both"/>
      </w:pPr>
      <w:r w:rsidRPr="00AF4B45">
        <w:t xml:space="preserve">В развитие политики региональных и местных органов власти, направленной на решение важнейшей социальной проблемы улучшения жилищных условий населения, реализуются федеральные и окружные целевые программы, направленные на решение жилищных проблем отдельных категорий граждан, и программные мероприятия по развитию системы ипотечного жилищного кредитования. С использованием механизма ипотечного кредитования реализуются мероприятия по улучшению жилищных условий населения в муниципальных образованиях гг. Губкинский, Новый Уренгой, Ноябрьске и Пуровском районе автономного округа. На данных территориях созданы и действуют фонды по строительству и ипотечному кредитованию. Дальнейшее успешное развитие системы ипотечного кредитования в округе требует привлечения, как бюджетных средств, так и средств организаций, а так же решения вопроса о предоставлении налоговых льгот организациям, инвестирующим средства в развитие ипотечного кредитования на территории ЯНАО. </w:t>
      </w:r>
    </w:p>
    <w:p w:rsidR="00AF4B45" w:rsidRPr="00AF4B45" w:rsidRDefault="00AF4B45" w:rsidP="00AF4B45">
      <w:pPr>
        <w:pStyle w:val="a3"/>
        <w:jc w:val="center"/>
      </w:pPr>
      <w:r w:rsidRPr="00AF4B45">
        <w:rPr>
          <w:b/>
          <w:bCs/>
        </w:rPr>
        <w:t>Государственные программы</w:t>
      </w:r>
    </w:p>
    <w:p w:rsidR="00AF4B45" w:rsidRPr="00AF4B45" w:rsidRDefault="00AF4B45" w:rsidP="00AF4B45">
      <w:pPr>
        <w:pStyle w:val="a3"/>
        <w:jc w:val="both"/>
      </w:pPr>
      <w:r w:rsidRPr="00AF4B45">
        <w:rPr>
          <w:b/>
          <w:bCs/>
        </w:rPr>
        <w:t>Федеральные программы</w:t>
      </w:r>
      <w:r w:rsidRPr="00AF4B45">
        <w:t xml:space="preserve"> </w:t>
      </w:r>
    </w:p>
    <w:p w:rsidR="00AF4B45" w:rsidRPr="00AF4B45" w:rsidRDefault="00AF4B45" w:rsidP="00AF4B45">
      <w:pPr>
        <w:pStyle w:val="a3"/>
        <w:jc w:val="both"/>
      </w:pPr>
      <w:r w:rsidRPr="00AF4B45">
        <w:t xml:space="preserve">Реализация мероприятий федеральных целевых программ на территории автономного округа осуществляется за счет средств федерального, окружного, местных бюджетов и внебюджетных источников. </w:t>
      </w:r>
    </w:p>
    <w:p w:rsidR="00AF4B45" w:rsidRPr="00AF4B45" w:rsidRDefault="00AF4B45" w:rsidP="00AF4B45">
      <w:pPr>
        <w:pStyle w:val="a3"/>
        <w:jc w:val="both"/>
      </w:pPr>
      <w:r w:rsidRPr="00AF4B45">
        <w:t xml:space="preserve">На реализацию федеральных программ за счет средств всех источников финансирования в отчетном периоде направлено 255,9 млн. рублей, что на 9,0% больше, чем в 2001 году. Мероприятия программ профинансированы на 99,8%, выполнены на 97,0% к утвержденному на год объему финансирования. </w:t>
      </w:r>
    </w:p>
    <w:p w:rsidR="00AF4B45" w:rsidRPr="00AF4B45" w:rsidRDefault="00AF4B45" w:rsidP="00AF4B45">
      <w:pPr>
        <w:pStyle w:val="a3"/>
        <w:jc w:val="both"/>
      </w:pPr>
      <w:r w:rsidRPr="00AF4B45">
        <w:t xml:space="preserve">Лимиты финансирования за счет средств федерального бюджета на 2002 год утверждены по 12 федеральным программам и подпрограммам в объеме 107,2 млн. рублей, что составляет 42,0% от общего объема финансирования федеральных программ. Мероприятия профинансированы на 99,7%, выполнены на 99,0% к объему финансирования, утвержденному на 2002 год. </w:t>
      </w:r>
    </w:p>
    <w:p w:rsidR="00AF4B45" w:rsidRPr="00AF4B45" w:rsidRDefault="00AF4B45" w:rsidP="00AF4B45">
      <w:pPr>
        <w:pStyle w:val="a3"/>
        <w:jc w:val="both"/>
      </w:pPr>
      <w:r w:rsidRPr="00AF4B45">
        <w:t xml:space="preserve">Не освоены федеральные средства по программе "Государственные жилищные сертификаты", в связи с тем, что в настоящее время получателями сертификатов осуществляется подбор вариантов, оформление и регистрация приобретенного жилья (срок реализации выданных сертификатов истекает в феврале и в мае 2003 года). </w:t>
      </w:r>
    </w:p>
    <w:p w:rsidR="00AF4B45" w:rsidRPr="00AF4B45" w:rsidRDefault="00AF4B45" w:rsidP="00AF4B45">
      <w:pPr>
        <w:pStyle w:val="a3"/>
        <w:jc w:val="both"/>
      </w:pPr>
      <w:r w:rsidRPr="00AF4B45">
        <w:t xml:space="preserve">Из окружного бюджета мероприятия федеральных программ профинансированы на 41,2 млн. рублей, выполнены на 37,9 млн. рублей, что составляет соответственно 100,0% и 91,9% к утвержденному лимиту. </w:t>
      </w:r>
    </w:p>
    <w:p w:rsidR="00AF4B45" w:rsidRPr="00AF4B45" w:rsidRDefault="00AF4B45" w:rsidP="00AF4B45">
      <w:pPr>
        <w:pStyle w:val="a3"/>
        <w:jc w:val="both"/>
      </w:pPr>
      <w:r w:rsidRPr="00AF4B45">
        <w:t xml:space="preserve">Не полностью освоены средства окружного бюджета по подпрограмме "Обеспечение жильем граждан, нуждающихся в улучшении жилищных условий" федеральной программы "Жилище", поскольку квартиры для приобретения жилья реабилитированным гражданам, проживающим в г. Салехард, зарезервированы в строящемся доме, сдача которого перенесена на 2003 год. </w:t>
      </w:r>
    </w:p>
    <w:p w:rsidR="00AF4B45" w:rsidRPr="00AF4B45" w:rsidRDefault="00AF4B45" w:rsidP="00AF4B45">
      <w:pPr>
        <w:pStyle w:val="a3"/>
        <w:jc w:val="both"/>
      </w:pPr>
      <w:r w:rsidRPr="00AF4B45">
        <w:t xml:space="preserve">За счет средств местных бюджетов мероприятия федеральных программ профинансированы на 86,4 млн. рублей и выполнены на 83,2 млн. рублей или 100,0% и 96,3% к утвержденному лимиту соответственно. </w:t>
      </w:r>
    </w:p>
    <w:p w:rsidR="00AF4B45" w:rsidRPr="00AF4B45" w:rsidRDefault="00AF4B45" w:rsidP="00AF4B45">
      <w:pPr>
        <w:pStyle w:val="a3"/>
        <w:jc w:val="both"/>
      </w:pPr>
      <w:r w:rsidRPr="00AF4B45">
        <w:t xml:space="preserve">За счет привлеченных средств внебюджетных источников мероприятия федеральных программ профинансированы и выполнены полностью в сумме 21,1 млн. рублей. </w:t>
      </w:r>
    </w:p>
    <w:p w:rsidR="00AF4B45" w:rsidRPr="00AF4B45" w:rsidRDefault="00AF4B45" w:rsidP="00AF4B45">
      <w:pPr>
        <w:pStyle w:val="a3"/>
        <w:jc w:val="both"/>
      </w:pPr>
      <w:r w:rsidRPr="00AF4B45">
        <w:t xml:space="preserve">Приоритетными направлениями реализации федеральных программ на территории автономного округа являются: </w:t>
      </w:r>
    </w:p>
    <w:p w:rsidR="00AF4B45" w:rsidRPr="00AF4B45" w:rsidRDefault="00AF4B45" w:rsidP="00AF4B45">
      <w:pPr>
        <w:pStyle w:val="a3"/>
        <w:jc w:val="both"/>
      </w:pPr>
      <w:r w:rsidRPr="00AF4B45">
        <w:t xml:space="preserve">- государственная поддержка развития экономики и культуры коренных малочисленных народов Севера; </w:t>
      </w:r>
    </w:p>
    <w:p w:rsidR="00AF4B45" w:rsidRPr="00AF4B45" w:rsidRDefault="00AF4B45" w:rsidP="00AF4B45">
      <w:pPr>
        <w:pStyle w:val="a3"/>
        <w:jc w:val="both"/>
      </w:pPr>
      <w:r w:rsidRPr="00AF4B45">
        <w:t xml:space="preserve">- строительство жилья за пределами округа, оказание государственной поддержки гражданам, выезжающим из районов Крайнего Севера и приравненных к ним местностей. </w:t>
      </w:r>
    </w:p>
    <w:p w:rsidR="00AF4B45" w:rsidRPr="00AF4B45" w:rsidRDefault="00AF4B45" w:rsidP="00AF4B45">
      <w:pPr>
        <w:pStyle w:val="a3"/>
        <w:jc w:val="both"/>
      </w:pPr>
      <w:r w:rsidRPr="00AF4B45">
        <w:t xml:space="preserve">Федеральная целевая программа "Экономическое и социальное развитие коренных малочисленных народов Севера" реализуется на территории автономного округа с 1991 года за счет средств федерального бюджета. Государственным заказчиком программы является Министерство экономического развития и торговли РФ. </w:t>
      </w:r>
    </w:p>
    <w:p w:rsidR="00AF4B45" w:rsidRPr="00AF4B45" w:rsidRDefault="00AF4B45" w:rsidP="00AF4B45">
      <w:pPr>
        <w:pStyle w:val="a3"/>
        <w:jc w:val="both"/>
      </w:pPr>
      <w:r w:rsidRPr="00AF4B45">
        <w:t xml:space="preserve">Утвержденный лимит государственных инвестиций данной программы на 2002 год по статье "Капитальные вложения" - 5,5 млн. рублей, что ниже необходимой финансовой потребности в 40-50 раз, по статье "Прочие расходы" федеральное финансирование не предусмотрено. </w:t>
      </w:r>
    </w:p>
    <w:p w:rsidR="00AF4B45" w:rsidRPr="00AF4B45" w:rsidRDefault="00AF4B45" w:rsidP="00AF4B45">
      <w:pPr>
        <w:pStyle w:val="a3"/>
        <w:jc w:val="both"/>
      </w:pPr>
      <w:r w:rsidRPr="00AF4B45">
        <w:t xml:space="preserve">Мероприятия программы выполнены и профинансированы полностью. Средства направлены на жилищное и производственное строительство. В рамках программы осуществлялось строительство 16 квартирного жилого дома в п.Тарко-Сале Пуровского района, 10-ти одноквартирных домов в п.Салемал Ямальского района, а также двухквартирного жилого дома в п.Аксарка и ДЭС в п.Зеленый Яр Приуральского района. </w:t>
      </w:r>
    </w:p>
    <w:p w:rsidR="00AF4B45" w:rsidRPr="00AF4B45" w:rsidRDefault="00AF4B45" w:rsidP="00AF4B45">
      <w:pPr>
        <w:pStyle w:val="a3"/>
        <w:jc w:val="both"/>
      </w:pPr>
      <w:r w:rsidRPr="00AF4B45">
        <w:t xml:space="preserve">В целях комплексного подхода к решению жилищной проблемы в автономном округе реализуется федеральная программа "Жилище", которая включает подпрограммы "Государственные жилищные сертификаты", "Обеспечение жильем участников последствий радиационных аварии и катастроф", финансирование реализации ФЗ "О жилищных субсидиях гражданам, выезжающим, из районов Крайнего Севера и приравненных к ним местностей". </w:t>
      </w:r>
    </w:p>
    <w:p w:rsidR="00AF4B45" w:rsidRPr="00AF4B45" w:rsidRDefault="00AF4B45" w:rsidP="00AF4B45">
      <w:pPr>
        <w:pStyle w:val="a3"/>
        <w:jc w:val="both"/>
      </w:pPr>
      <w:r w:rsidRPr="00AF4B45">
        <w:t xml:space="preserve">На учете нуждающихся в переселении из районов Крайнего Севера по автономному округу состоят 10,7 тысяч семей (437,3 тыс.м2 общей жилой площади). Необходимая потребность в жилье для граждан, выезжающих за пределы автономного округа, по данной программе - около 45 тыс. кв. м. ежегодно. </w:t>
      </w:r>
    </w:p>
    <w:p w:rsidR="00AF4B45" w:rsidRPr="00AF4B45" w:rsidRDefault="00AF4B45" w:rsidP="00AF4B45">
      <w:pPr>
        <w:pStyle w:val="a3"/>
        <w:jc w:val="both"/>
      </w:pPr>
      <w:r w:rsidRPr="00AF4B45">
        <w:t xml:space="preserve">Реализация федеральной целевой программы "Жилище" осуществляется на территории автономного округа с 1995 года на основании федеральных, окружных и местных нормативных правовых актов для различных категорий граждан. </w:t>
      </w:r>
    </w:p>
    <w:p w:rsidR="00AF4B45" w:rsidRPr="00AF4B45" w:rsidRDefault="00AF4B45" w:rsidP="00AF4B45">
      <w:pPr>
        <w:pStyle w:val="a3"/>
        <w:jc w:val="both"/>
      </w:pPr>
      <w:r w:rsidRPr="00AF4B45">
        <w:t xml:space="preserve">На реализацию программы из всех источников финансирования в 2002 году утверждено 142,4 млн. рублей. </w:t>
      </w:r>
    </w:p>
    <w:p w:rsidR="00AF4B45" w:rsidRPr="00AF4B45" w:rsidRDefault="00AF4B45" w:rsidP="00AF4B45">
      <w:pPr>
        <w:pStyle w:val="a3"/>
        <w:jc w:val="both"/>
      </w:pPr>
      <w:r w:rsidRPr="00AF4B45">
        <w:t xml:space="preserve">За счет средств федерального бюджета мероприятия программы профинансированы на 48,7 млн. рублей, выполнены на 47,5 млн. рублей или 99,8% и 97,5% соответственно от утвержденного годового лимита. </w:t>
      </w:r>
    </w:p>
    <w:p w:rsidR="00AF4B45" w:rsidRPr="00AF4B45" w:rsidRDefault="00AF4B45" w:rsidP="00AF4B45">
      <w:pPr>
        <w:pStyle w:val="a3"/>
        <w:jc w:val="both"/>
      </w:pPr>
      <w:r w:rsidRPr="00AF4B45">
        <w:t xml:space="preserve">За счет средств окружного бюджета профинансировано 20,8 млн. рублей, освоено 17,5 млн. рублей, что составляет 100,0% и 84,0% от утвержденного лимита соответственно. </w:t>
      </w:r>
    </w:p>
    <w:p w:rsidR="00AF4B45" w:rsidRPr="00AF4B45" w:rsidRDefault="00AF4B45" w:rsidP="00AF4B45">
      <w:pPr>
        <w:pStyle w:val="a3"/>
        <w:jc w:val="both"/>
      </w:pPr>
      <w:r w:rsidRPr="00AF4B45">
        <w:t xml:space="preserve">За счет средств местных бюджетов мероприятия профинансированы на 72,8 млн. рублей или 99,9% к утвержденному объему финансирования на 2002 год. </w:t>
      </w:r>
    </w:p>
    <w:p w:rsidR="00AF4B45" w:rsidRPr="00AF4B45" w:rsidRDefault="00AF4B45" w:rsidP="00AF4B45">
      <w:pPr>
        <w:pStyle w:val="a3"/>
        <w:jc w:val="both"/>
      </w:pPr>
      <w:r w:rsidRPr="00AF4B45">
        <w:t xml:space="preserve">В 2002 году в рамках федеральной программы "Жилище" за счет бюджетов всех уровней оказана помощь в решении жилищной проблемы 159 семьям. </w:t>
      </w:r>
    </w:p>
    <w:p w:rsidR="00AF4B45" w:rsidRPr="00AF4B45" w:rsidRDefault="00AF4B45" w:rsidP="00AF4B45">
      <w:pPr>
        <w:pStyle w:val="a3"/>
        <w:jc w:val="both"/>
      </w:pPr>
      <w:r w:rsidRPr="00AF4B45">
        <w:t xml:space="preserve">Основной проблемой реализации федеральных программ за счет средств федерального бюджета на территории автономного округа является недостаточность ежегодно утверждаемых лимитов государственных инвестиций по федеральным программам для решения проблем, определенных программами. Так, потребность автономного округа в финансировании за счет средств федерального бюджета мероприятий федеральных целевых программ в 2002 году составляла 3,2 млрд. рублей, утвержденный лимит - 107,6 млн. рублей или 3,3% от потребности. </w:t>
      </w:r>
    </w:p>
    <w:p w:rsidR="00AF4B45" w:rsidRPr="00AF4B45" w:rsidRDefault="00AF4B45" w:rsidP="00AF4B45">
      <w:pPr>
        <w:pStyle w:val="a3"/>
        <w:jc w:val="both"/>
      </w:pPr>
      <w:r w:rsidRPr="00AF4B45">
        <w:t xml:space="preserve">Осложняет процесс реализации федеральных программ позднее поступление федеральных средств в автономный округ, в результате реализация мероприятий федеральных целевых программ начинается во второй половине года. </w:t>
      </w:r>
    </w:p>
    <w:p w:rsidR="00AF4B45" w:rsidRPr="00AF4B45" w:rsidRDefault="00AF4B45" w:rsidP="00AF4B45">
      <w:pPr>
        <w:pStyle w:val="a3"/>
        <w:jc w:val="both"/>
      </w:pPr>
      <w:r w:rsidRPr="00AF4B45">
        <w:t xml:space="preserve">По ряду федеральных программ, таким как: "Дети Севера", "Дети-инвалиды", "Дети-сироты", "Профилактика безнадзорности и правонарушений несовершеннолетних", "Безопасное материнство", "Федеральная программа развития образования", "Анти-ВИЧ/СПИД", "Вакцинопрофилактика", "Неотложные меры борьбы с туберкулезом в России", "Сахарный диабет", лимиты федерального финансирования не выделяются, но заявки автономного округа частично выполняются. В отчетном периоде за счет федеральных средств поступило оборудование и медикаменты на 27,1 млн. рублей. </w:t>
      </w:r>
    </w:p>
    <w:p w:rsidR="00AF4B45" w:rsidRPr="00AF4B45" w:rsidRDefault="00AF4B45" w:rsidP="00AF4B45">
      <w:pPr>
        <w:pStyle w:val="a3"/>
        <w:jc w:val="both"/>
      </w:pPr>
      <w:r w:rsidRPr="00AF4B45">
        <w:rPr>
          <w:b/>
          <w:bCs/>
        </w:rPr>
        <w:t>Окружные программы</w:t>
      </w:r>
      <w:r w:rsidRPr="00AF4B45">
        <w:t xml:space="preserve"> </w:t>
      </w:r>
    </w:p>
    <w:p w:rsidR="00AF4B45" w:rsidRPr="00AF4B45" w:rsidRDefault="00AF4B45" w:rsidP="00AF4B45">
      <w:pPr>
        <w:pStyle w:val="a3"/>
        <w:jc w:val="both"/>
      </w:pPr>
      <w:r w:rsidRPr="00AF4B45">
        <w:t xml:space="preserve">Реализация мероприятий окружных целевых программ осуществляется на территориях всех муниципальных образований автономного округа. </w:t>
      </w:r>
    </w:p>
    <w:p w:rsidR="00AF4B45" w:rsidRPr="00AF4B45" w:rsidRDefault="00AF4B45" w:rsidP="00AF4B45">
      <w:pPr>
        <w:pStyle w:val="a3"/>
        <w:jc w:val="both"/>
      </w:pPr>
      <w:r w:rsidRPr="00AF4B45">
        <w:t xml:space="preserve">В окружном бюджете на 2002 год были утверждены 34 программы и подпрограммы в объеме 3,0 млрд. рублей, что в 2,9 раз больше утвержденного объема финансирования в 2001 году. </w:t>
      </w:r>
    </w:p>
    <w:p w:rsidR="00AF4B45" w:rsidRPr="00AF4B45" w:rsidRDefault="00AF4B45" w:rsidP="00AF4B45">
      <w:pPr>
        <w:pStyle w:val="a3"/>
        <w:jc w:val="both"/>
      </w:pPr>
      <w:r w:rsidRPr="00AF4B45">
        <w:t xml:space="preserve">Большая часть окружных программ решает задачи социальной сферы, мероприятия их направлены на укрепление материально-технической базы учреждений здравоохранения, социальной защиты, образования, культуры, проведение молодежной политики и поддержки жилищного строительства в округе. </w:t>
      </w:r>
    </w:p>
    <w:p w:rsidR="00AF4B45" w:rsidRPr="00AF4B45" w:rsidRDefault="00AF4B45" w:rsidP="00AF4B45">
      <w:pPr>
        <w:pStyle w:val="a3"/>
        <w:jc w:val="both"/>
      </w:pPr>
      <w:r w:rsidRPr="00AF4B45">
        <w:t xml:space="preserve">Мероприятия окружных программ в 2002 году выполнены и профинансированы в объеме 2,9 млрд. рублей или на 96,0% от объема бюджетных ассигнований, предусмотренных на 2002 год. Процент выполнения программных мероприятий в отчетный год в 1,3 раза больше по сравнению с 2001 годом (74,5%). </w:t>
      </w:r>
    </w:p>
    <w:p w:rsidR="00AF4B45" w:rsidRPr="00AF4B45" w:rsidRDefault="00AF4B45" w:rsidP="00AF4B45">
      <w:pPr>
        <w:pStyle w:val="a3"/>
        <w:jc w:val="both"/>
      </w:pPr>
      <w:r w:rsidRPr="00AF4B45">
        <w:t xml:space="preserve">В целях внедрения новых форм хозяйственной деятельности муниципальных образований в части реализации окружных целевых программ в 2002 году осуществлена частичная передача муниципальным образованиям полномочий автономного округа по выполнению программных мероприятий. </w:t>
      </w:r>
    </w:p>
    <w:p w:rsidR="00AF4B45" w:rsidRPr="00AF4B45" w:rsidRDefault="00AF4B45" w:rsidP="00AF4B45">
      <w:pPr>
        <w:pStyle w:val="a3"/>
        <w:jc w:val="both"/>
      </w:pPr>
      <w:r w:rsidRPr="00AF4B45">
        <w:t xml:space="preserve">Так, 54,0% от утвержденного объема финансирования окружных целевых программ было передано в бюджеты муниципальных образований автономного округа в виде субвенций. Остальная часть средств окружного бюджета оставлена в распоряжении государственных заказчиков программ для решения вопросов окружного значения. </w:t>
      </w:r>
    </w:p>
    <w:p w:rsidR="00AF4B45" w:rsidRPr="00AF4B45" w:rsidRDefault="00AF4B45" w:rsidP="00AF4B45">
      <w:pPr>
        <w:pStyle w:val="a3"/>
        <w:jc w:val="both"/>
      </w:pPr>
      <w:r w:rsidRPr="00AF4B45">
        <w:t xml:space="preserve">Анализируя эффективность использования окружных средств, предоставленных в виде субвенций муниципальным образованиям, необходимо отметить, что в целом использование данного механизма реализации окружных программ значительно увеличивает объем выполнения программных мероприятий. </w:t>
      </w:r>
    </w:p>
    <w:p w:rsidR="00AF4B45" w:rsidRPr="00AF4B45" w:rsidRDefault="00AF4B45" w:rsidP="00AF4B45">
      <w:pPr>
        <w:pStyle w:val="a3"/>
        <w:jc w:val="both"/>
      </w:pPr>
      <w:r w:rsidRPr="00AF4B45">
        <w:t xml:space="preserve">Фактический объем субвенций, переданных в бюджеты муниципальных образований в отчетном году, составил 1636,7 млн. рублей, программные мероприятия профинансированы в объеме 1588,0 млн. рублей (97,0% к объему предоставленных субвенций), выполнены - на 1497,3 млн. рублей (91,5%). Неиспользованные субвенции в объеме 48,8 млн. рублей возвращены в окружной бюджет, из них: Ямальский район - 18,0 млн. рублей, Красноселькупский район - 12,0 млн. рублей, Тазовский район - 8,0 млн. рублей, Пуровский район - 4,7 млн. рублей. </w:t>
      </w:r>
    </w:p>
    <w:p w:rsidR="00AF4B45" w:rsidRPr="00AF4B45" w:rsidRDefault="00AF4B45" w:rsidP="00AF4B45">
      <w:pPr>
        <w:pStyle w:val="a3"/>
        <w:jc w:val="both"/>
      </w:pPr>
      <w:r w:rsidRPr="00AF4B45">
        <w:t xml:space="preserve">Неиспользованные субвенции возвращены по следующим окружным программам: "Переселение из ветхого и аварийного жилья", "Развитие малой и коммунальной энергетики", "Возрождение районных центров ЯНАО", Окружная целевая программа по развитию образования. </w:t>
      </w:r>
    </w:p>
    <w:p w:rsidR="00AF4B45" w:rsidRPr="00AF4B45" w:rsidRDefault="00AF4B45" w:rsidP="00AF4B45">
      <w:pPr>
        <w:pStyle w:val="a3"/>
        <w:jc w:val="both"/>
      </w:pPr>
      <w:r w:rsidRPr="00AF4B45">
        <w:t xml:space="preserve">Основная причина сложившейся ситуации - позднее проведение конкурсов по выбору поставщиков товаров (работ, услуг) для нужд окружных программ. Муниципальные образования оказались не готовыми к проведению конкурсов по закупке товаров и услуг для государственных нужд в соответствии с действующим законодательством. В некоторых муниципальных образованиях не были созданы конкурсные комиссии, на их организацию потребовался определенный период времени. Активно работать конкурсные комиссии по реализации мероприятий программы начали только осенью. В связи с вышеизложенным большое количество конкурсных торгов было проведено в ноябре-декабре 2002 года, поэтому поставку материальных ценностей до конца года обеспечить не удалось. </w:t>
      </w:r>
    </w:p>
    <w:p w:rsidR="00AF4B45" w:rsidRPr="00AF4B45" w:rsidRDefault="00AF4B45" w:rsidP="00AF4B45">
      <w:pPr>
        <w:pStyle w:val="a3"/>
        <w:jc w:val="both"/>
      </w:pPr>
      <w:r w:rsidRPr="00AF4B45">
        <w:t xml:space="preserve">Часть окружных средств осталась неиспользованной в результате установления на торгах более низких цен по сравнению с предполагаемыми. </w:t>
      </w:r>
    </w:p>
    <w:p w:rsidR="00AF4B45" w:rsidRPr="00AF4B45" w:rsidRDefault="00AF4B45" w:rsidP="00AF4B45">
      <w:pPr>
        <w:pStyle w:val="a3"/>
        <w:jc w:val="both"/>
      </w:pPr>
      <w:r w:rsidRPr="00AF4B45">
        <w:t xml:space="preserve">Недостаточно высок уровень текущего учета и контроля за расходованием бюджетных средств со стороны государственных заказчиков окружных программ. </w:t>
      </w:r>
    </w:p>
    <w:p w:rsidR="00AF4B45" w:rsidRPr="00AF4B45" w:rsidRDefault="00AF4B45" w:rsidP="00AF4B45">
      <w:pPr>
        <w:pStyle w:val="a3"/>
        <w:jc w:val="both"/>
      </w:pPr>
      <w:r w:rsidRPr="00AF4B45">
        <w:t xml:space="preserve">Анализ выполнения мероприятий окружных программ за счет субвенций показал, что наиболее низкий уровень выполнения мероприятий отмечается по программам: "Реконструкция первоочередных объектов образования в сельской местности ЯНАО до 2005 года" (63,0% к объему предоставленных на 2002 год субвенций), "Строительство первоочередных объектов здравоохранения в сельской местности ЯНАО до 2005г." (67,0%). </w:t>
      </w:r>
    </w:p>
    <w:p w:rsidR="00AF4B45" w:rsidRPr="00AF4B45" w:rsidRDefault="00AF4B45" w:rsidP="00AF4B45">
      <w:pPr>
        <w:pStyle w:val="a3"/>
        <w:jc w:val="both"/>
      </w:pPr>
      <w:r w:rsidRPr="00AF4B45">
        <w:t xml:space="preserve">В рамках окружной целевой программа по развитию образования до 2005 года (выполнение 82,0%) не выполнен ряд мероприятий по изготовлению проектно-сметной документации, финансирование данных работ произведено в полном объеме, а не авансовыми платежами до 30%, как предусмотрено действующим законодательством (постановление Губернатора автономного округа "О механизме реализации Закона Ямало-Ненецкого автономного округа "Об окружном бюджете на 2002 год"). </w:t>
      </w:r>
    </w:p>
    <w:p w:rsidR="00AF4B45" w:rsidRPr="00AF4B45" w:rsidRDefault="00AF4B45" w:rsidP="00AF4B45">
      <w:pPr>
        <w:pStyle w:val="a3"/>
        <w:jc w:val="both"/>
      </w:pPr>
      <w:r w:rsidRPr="00AF4B45">
        <w:t xml:space="preserve">Наиболее успешное выполнение программных мероприятий за счет средств окружного бюджета, переданных в бюджеты муниципальных образований в виде субвенций, наблюдается в г.Ноябрьск - 100,0% к объему предоставленных субвенций, г. Губкинский - 99,0%, Муравленко - 99,0 процента. </w:t>
      </w:r>
    </w:p>
    <w:p w:rsidR="00AF4B45" w:rsidRPr="00AF4B45" w:rsidRDefault="00AF4B45" w:rsidP="00AF4B45">
      <w:pPr>
        <w:pStyle w:val="a3"/>
        <w:jc w:val="both"/>
      </w:pPr>
      <w:r w:rsidRPr="00AF4B45">
        <w:t xml:space="preserve">Полностью выполнены программные мероприятия за счет субвенций по следующим окружным программам: "Программа развития средств массовой информации ЯНАО", "Реформирования жилищно-коммунального хозяйства в ЯНАО", Комплексная программа по социальной защите населения, "Социально-гигиенический мониторинг за окружающей средой и профилактика заболеваний на территории Ямало-Ненецкого автономного округа", Комплексная целевая программа "Охрана здоровья населения и профилактика социально значимых заболеваний в Ямало-Ненецком автономном округе на 2002 год". </w:t>
      </w:r>
    </w:p>
    <w:p w:rsidR="00AF4B45" w:rsidRPr="00AF4B45" w:rsidRDefault="00AF4B45" w:rsidP="00AF4B45">
      <w:pPr>
        <w:pStyle w:val="a3"/>
        <w:jc w:val="both"/>
      </w:pPr>
      <w:r w:rsidRPr="00AF4B45">
        <w:t xml:space="preserve">За счет средств окружного бюджета, оставленных в распоряжении государственных заказчиков программ для решения вопросов общеокружного значения, мероприятия выполнены в полном объеме, профинансированы на 96,0% к утвержденному объему финансирования на 2002 год. </w:t>
      </w:r>
    </w:p>
    <w:p w:rsidR="00AF4B45" w:rsidRPr="00AF4B45" w:rsidRDefault="00AF4B45" w:rsidP="00AF4B45">
      <w:pPr>
        <w:pStyle w:val="a3"/>
        <w:jc w:val="both"/>
      </w:pPr>
      <w:r w:rsidRPr="00AF4B45">
        <w:rPr>
          <w:b/>
          <w:bCs/>
        </w:rPr>
        <w:t>Общеобластные программы</w:t>
      </w:r>
      <w:r w:rsidRPr="00AF4B45">
        <w:t xml:space="preserve"> </w:t>
      </w:r>
    </w:p>
    <w:p w:rsidR="00AF4B45" w:rsidRPr="00AF4B45" w:rsidRDefault="00AF4B45" w:rsidP="00AF4B45">
      <w:pPr>
        <w:pStyle w:val="a3"/>
        <w:jc w:val="both"/>
      </w:pPr>
      <w:r w:rsidRPr="00AF4B45">
        <w:t xml:space="preserve">В 2002 году администрация Ямало-Ненецкого автономного округа принимала участие в финансировании трех общеобластных программ: "Анти-СПИД", "Развитие высшего и среднего профессионального образования и поддержка науки в 2001-2005гг" и "Совместное финансирование мероприятий по обеспечению пассажирских перевозок и устойчивой работы транспорта, связи и автодорог", а также общеобластных мероприятий. На их реализацию в окружном бюджете было утверждено 37276 тыс. рублей, из них на финансирование учреждений юга области - 21084 тыс. рублей или 56,6% от общего объема финансирования. </w:t>
      </w:r>
    </w:p>
    <w:p w:rsidR="00AF4B45" w:rsidRPr="00AF4B45" w:rsidRDefault="00AF4B45" w:rsidP="00AF4B45">
      <w:pPr>
        <w:pStyle w:val="a3"/>
        <w:jc w:val="both"/>
      </w:pPr>
      <w:r w:rsidRPr="00AF4B45">
        <w:t xml:space="preserve">Фактически за текущий период на реализацию общеобластных программ и мероприятий направлено 33726 тыс. рублей или 90% от утвержденного годового лимита, на финансирование учреждений юга области - 20884 тыс. рублей или 99% от утвержденного годового лимита соответственно. </w:t>
      </w:r>
    </w:p>
    <w:p w:rsidR="00AF4B45" w:rsidRPr="00AF4B45" w:rsidRDefault="00AF4B45" w:rsidP="00AF4B45">
      <w:pPr>
        <w:pStyle w:val="a3"/>
        <w:jc w:val="both"/>
      </w:pPr>
      <w:r w:rsidRPr="00AF4B45">
        <w:t xml:space="preserve">В рамках программы "Анти-СПИД" приобретено медицинское оборудование, медикаменты и расходные материалы для медицинских учреждений муниципальных образований автономного округа. </w:t>
      </w:r>
    </w:p>
    <w:p w:rsidR="00AF4B45" w:rsidRPr="00AF4B45" w:rsidRDefault="00AF4B45" w:rsidP="00AF4B45">
      <w:pPr>
        <w:pStyle w:val="a3"/>
        <w:jc w:val="both"/>
      </w:pPr>
      <w:r w:rsidRPr="00AF4B45">
        <w:t xml:space="preserve">Средства программы "Развитие высшего и среднего профессионального образования и поддержка науки в 2001-2005гг" направлены на открытие окружного ВУЗа в г.Новый Уренгой, на проведение общеобластных олимпиад, на оказание материальной помощи студентам, на укрепление и развитие материально-технической базы ВУЗов и ССУЗов. </w:t>
      </w:r>
    </w:p>
    <w:p w:rsidR="00AF4B45" w:rsidRPr="00AF4B45" w:rsidRDefault="00AF4B45" w:rsidP="00AF4B45">
      <w:pPr>
        <w:pStyle w:val="a3"/>
        <w:jc w:val="both"/>
      </w:pPr>
      <w:r w:rsidRPr="00AF4B45">
        <w:t xml:space="preserve">По программе "Совместное финансирование мероприятий по обеспечению пассажирских перевозок и устойчивой работы транспорта, связи и автодорог" обеспечивались пассажирские перевозки и устойчивая работа на скоростной линии Салехард-Березово, а также профинансированы дотации на содержание пассажирских теплоходов на линии Салехард-Омск. </w:t>
      </w:r>
    </w:p>
    <w:p w:rsidR="00AF4B45" w:rsidRPr="00AF4B45" w:rsidRDefault="00AF4B45" w:rsidP="00AF4B45">
      <w:pPr>
        <w:pStyle w:val="a3"/>
        <w:jc w:val="both"/>
      </w:pPr>
      <w:r w:rsidRPr="00AF4B45">
        <w:t xml:space="preserve">Кроме того, вне общеобластных программ в 2002 году осуществлялось финансирование расходов по общеобластным мероприятиям. </w:t>
      </w:r>
    </w:p>
    <w:p w:rsidR="00AF4B45" w:rsidRPr="00AF4B45" w:rsidRDefault="00AF4B45" w:rsidP="00AF4B45">
      <w:pPr>
        <w:pStyle w:val="a3"/>
        <w:jc w:val="both"/>
      </w:pPr>
      <w:r w:rsidRPr="00AF4B45">
        <w:t xml:space="preserve">На содержание воспитанников, имеющих отклонения в развитии, в специальных (коррекционных) образовательных учреждений юга области Департаменту образованию и науки администрации Тюменской области перечислено 163 тыс. рублей. </w:t>
      </w:r>
    </w:p>
    <w:p w:rsidR="00AF4B45" w:rsidRPr="00AF4B45" w:rsidRDefault="00AF4B45" w:rsidP="00AF4B45">
      <w:pPr>
        <w:pStyle w:val="a3"/>
        <w:jc w:val="both"/>
      </w:pPr>
      <w:r w:rsidRPr="00AF4B45">
        <w:t xml:space="preserve">Государственному предприятию "Абалакский экспериментальный рыборазводный завод" выделены средства в размере 2000 тыс. рублей для воспроизводства запасов ценных видов рыбы. </w:t>
      </w:r>
    </w:p>
    <w:p w:rsidR="00AF4B45" w:rsidRPr="00AF4B45" w:rsidRDefault="00AF4B45" w:rsidP="00AF4B45">
      <w:pPr>
        <w:pStyle w:val="a3"/>
        <w:jc w:val="both"/>
      </w:pPr>
      <w:r w:rsidRPr="00AF4B45">
        <w:t>Профинансированы работы по укреплению берегов реки Иртыш для обеспечения безопасности биофабрики в г.Тобольск в сумме 10000 тыс.рублей.</w:t>
      </w:r>
    </w:p>
    <w:p w:rsidR="00AF4B45" w:rsidRPr="00AF4B45" w:rsidRDefault="00AF4B45" w:rsidP="00AF4B45">
      <w:pPr>
        <w:pStyle w:val="a3"/>
        <w:jc w:val="center"/>
      </w:pPr>
      <w:r w:rsidRPr="00AF4B45">
        <w:rPr>
          <w:b/>
          <w:bCs/>
        </w:rPr>
        <w:t>Экология</w:t>
      </w:r>
    </w:p>
    <w:p w:rsidR="00AF4B45" w:rsidRPr="00AF4B45" w:rsidRDefault="00AF4B45" w:rsidP="00AF4B45">
      <w:pPr>
        <w:pStyle w:val="a3"/>
        <w:jc w:val="both"/>
      </w:pPr>
      <w:r w:rsidRPr="00AF4B45">
        <w:t xml:space="preserve">Одной из наиболее важных проблем на территории округа является нарушение почвенно-растительного покрова, вечной мерзлоты и связанных с этим процессов деградации тундрового ландшафта (заболачивание, химическое загрязнение, захламление и т. д.). Техногенная нагрузка, создаваемая нефтегазовым комплексом, значительная в настоящее время, возрастет и в дальнейшем. В результате при современном уровне технологий существующая экологическая ситуация будет ухудшаться. </w:t>
      </w:r>
    </w:p>
    <w:p w:rsidR="00AF4B45" w:rsidRPr="00AF4B45" w:rsidRDefault="00AF4B45" w:rsidP="00AF4B45">
      <w:pPr>
        <w:pStyle w:val="a3"/>
        <w:jc w:val="both"/>
      </w:pPr>
      <w:r w:rsidRPr="00AF4B45">
        <w:t xml:space="preserve">На факельных установках сжигается в среднем около 450 тыс. тонн природного и попутного нефтяного газа. Выбросы в атмосферу от их сжигания составляют более 60 тыс. т. загрязняющих веществ. </w:t>
      </w:r>
    </w:p>
    <w:p w:rsidR="00AF4B45" w:rsidRPr="00AF4B45" w:rsidRDefault="00AF4B45" w:rsidP="00AF4B45">
      <w:pPr>
        <w:pStyle w:val="a3"/>
        <w:jc w:val="both"/>
      </w:pPr>
      <w:r w:rsidRPr="00AF4B45">
        <w:t xml:space="preserve">Огромное влияние на уровень загрязнения атмосферы особенно в крупных населенных пунктах округа оказывает автотранспорт, парк которого постоянно растет. В целях снижения выбросов загрязняющих веществ в атмосферу от автотранспорта, в городах и в ряде поселков округа необходима организация на предприятиях и станциях техобслуживания постов проведения контрольно-регулировочных работ по топливной системе автомобилей, оснащение постов контрольно-регулировочными приборами и технологическим оборудованием. В городах практически ежегодно количество автотранспорта возрастает в среднем на 1000 единиц, что в совокупности с недостаточной пропускной способностью автодорог начинает превращаться в одну из самых значимых экологических проблем на территории округа. Кроме того, в связи с ведущейся в округе работе по газификации объектов теплоэнергетики выбросы загрязняющих веществ от автотранспорта все более увеличивают свою долю от общего количества выбросов. </w:t>
      </w:r>
    </w:p>
    <w:p w:rsidR="00AF4B45" w:rsidRPr="00AF4B45" w:rsidRDefault="00AF4B45" w:rsidP="00AF4B45">
      <w:pPr>
        <w:pStyle w:val="a3"/>
        <w:jc w:val="both"/>
      </w:pPr>
      <w:r w:rsidRPr="00AF4B45">
        <w:t xml:space="preserve">Повышенные темпы промышленного освоения региона в свою очередь вызывают повышение уровня экологической опасности, продолжается процесс накопления неиспользуемых отходов. Из-за небольшого количества предприятий по переработке основная масса отходов складируется в накопителях, подлежит захоронению на полигонах и вывозится на свалки. Не решен вопрос организации локальных центров (полигонов) по утилизации и обезвреживанию опасных отходов. В нефтегазодобывающих районах округа одна из проблем заключена в утилизации отходов бурения. Серьёзной проблемой является утилизация твёрдых бытовых отходов (далее ТБО). Большая часть мест захоронения бытовых отходов не отвечает санитарным и природоохранным требованиям: отсутствуют санитарно-защитные зоны, заграждения, контроль за объёмом и качеством (токсичностью) поступающих на свалки отходов практически не организован, свалки не имеют кольцевых каналов для перехвата талых и ливневых вод, наблюдательных скважин (колодцев). Складирование отходов, как правило, беспорядочное. Некоторые свалки расположены в водоохранных зонах рек, карьерах, понижениях местности, в лесу. </w:t>
      </w:r>
    </w:p>
    <w:p w:rsidR="00AF4B45" w:rsidRPr="00AF4B45" w:rsidRDefault="00AF4B45" w:rsidP="00AF4B45">
      <w:pPr>
        <w:pStyle w:val="a3"/>
        <w:jc w:val="both"/>
      </w:pPr>
      <w:r w:rsidRPr="00AF4B45">
        <w:t xml:space="preserve">Наиболее благополучным по состоянию мест хранения отходов является Надымский район, на его территории расположено 5 полигонов захоронения отходов, все они соответствуют требованиям санитарных норм и находятся в удовлетворительном состоянии, а также 24 санкционированные свалки, удовлетворяющие санитарным и природоохранным требованиям. В округе существуют и неблагополучные районы, такие как Муравленковский, где отсутствуют, полигоны твердых бытовых отходов, промышленных отходов, а также санкционированные свалки. В этом регионе реально существующая практика захоронения отходов сводится к засыпке отработанных карьеров, имеющих водоупорный замок, в качестве которого выступает естественный глиняный слой. </w:t>
      </w:r>
    </w:p>
    <w:p w:rsidR="00AF4B45" w:rsidRPr="00AF4B45" w:rsidRDefault="00AF4B45" w:rsidP="00AF4B45">
      <w:pPr>
        <w:pStyle w:val="a3"/>
        <w:jc w:val="both"/>
      </w:pPr>
      <w:r w:rsidRPr="00AF4B45">
        <w:t xml:space="preserve">Важной проблемой округа является ухудшение экологического состояния поверхностных и подземных вод. Из всех загрязняющих веществ, поступающих в р. Обь и её притоки на территории Тюменской области основное значение имеют нефть, нефтепродукты, фенолы. Добыча и транспортировка нефти сопровождается загрязнением окружающей среды, в том числе и водных систем. Воздействие нефтепромыслов на речной бассейн отличается комплексностью, имеет залповый характер, отличается высокой поражающей способностью. </w:t>
      </w:r>
    </w:p>
    <w:p w:rsidR="00AF4B45" w:rsidRPr="00AF4B45" w:rsidRDefault="00AF4B45" w:rsidP="00AF4B45">
      <w:pPr>
        <w:pStyle w:val="a3"/>
        <w:jc w:val="both"/>
      </w:pPr>
      <w:r w:rsidRPr="00AF4B45">
        <w:t xml:space="preserve">За отчетный период объём предотвращённого экологического ущерба составил 951,3 млн. руб., что составляет 90,7% от плана, в том числе по объектам: </w:t>
      </w:r>
    </w:p>
    <w:p w:rsidR="00AF4B45" w:rsidRPr="00AF4B45" w:rsidRDefault="00AF4B45" w:rsidP="00AF4B45">
      <w:pPr>
        <w:pStyle w:val="a3"/>
      </w:pPr>
      <w:r w:rsidRPr="00AF4B45">
        <w:t xml:space="preserve">- земля, почва на сумму - 54,0 млн. руб.; </w:t>
      </w:r>
      <w:r w:rsidRPr="00AF4B45">
        <w:br/>
        <w:t xml:space="preserve">- водные объекты - 302,5 млн. руб.; </w:t>
      </w:r>
      <w:r w:rsidRPr="00AF4B45">
        <w:br/>
        <w:t xml:space="preserve">- атмосферный воздух - 15,8 млн. руб.; </w:t>
      </w:r>
      <w:r w:rsidRPr="00AF4B45">
        <w:br/>
        <w:t xml:space="preserve">- отходы производства и потребления - 29,4 млн. руб.; </w:t>
      </w:r>
      <w:r w:rsidRPr="00AF4B45">
        <w:br/>
        <w:t xml:space="preserve">- краснокнижные виды животного мира - 20,7 млн. руб.; </w:t>
      </w:r>
      <w:r w:rsidRPr="00AF4B45">
        <w:br/>
        <w:t xml:space="preserve">- в результате проведения экологической экспертизы - 528,9 млн. руб. </w:t>
      </w:r>
    </w:p>
    <w:p w:rsidR="00AF4B45" w:rsidRPr="00AF4B45" w:rsidRDefault="00AF4B45" w:rsidP="00AF4B45">
      <w:pPr>
        <w:pStyle w:val="a3"/>
        <w:jc w:val="both"/>
      </w:pPr>
      <w:r w:rsidRPr="00AF4B45">
        <w:t xml:space="preserve">По итогам года поступления в бюджетную систему округа платежей за нормативные и сверхнормативные выбросы и сбросы вредных веществ, размещение отходов составили 236,3 млн. руб., что соответствует 91,3% от годового плана. Недовыполнение плановых показателей по вышеуказанным параметрам обусловлено отменой действия нормативного акта, регламентирующего взимание платы за негативное воздействие на окружающую среду в июне 2002г. </w:t>
      </w:r>
    </w:p>
    <w:p w:rsidR="00AF4B45" w:rsidRPr="00AF4B45" w:rsidRDefault="00AF4B45" w:rsidP="00AF4B45">
      <w:pPr>
        <w:pStyle w:val="a3"/>
        <w:jc w:val="both"/>
      </w:pPr>
      <w:r w:rsidRPr="00AF4B45">
        <w:t xml:space="preserve">За 2002 год объем средств, выделенных из бюджета округа и освоенных на экологическое оздоровление региона, составил 127,8 млн. руб. </w:t>
      </w:r>
    </w:p>
    <w:p w:rsidR="00AF4B45" w:rsidRPr="00AF4B45" w:rsidRDefault="00AF4B45" w:rsidP="00AF4B45">
      <w:pPr>
        <w:pStyle w:val="a3"/>
        <w:jc w:val="both"/>
      </w:pPr>
      <w:r w:rsidRPr="00AF4B45">
        <w:t xml:space="preserve">ГУ "Экология ЯНАО" выступало инвестором и заказчиком при заключении договоров и соглашений на проведение мероприятий имеющих природоохранное назначение, руководствуясь соответствующим утвержденным планом на 2002 год. Среди основных направлений природоохранного инвестирования в 2002 году можно выделить следующие: </w:t>
      </w:r>
    </w:p>
    <w:p w:rsidR="00AF4B45" w:rsidRPr="00AF4B45" w:rsidRDefault="00AF4B45" w:rsidP="00390551">
      <w:pPr>
        <w:pStyle w:val="a3"/>
      </w:pPr>
      <w:r w:rsidRPr="00AF4B45">
        <w:t xml:space="preserve">- затраты капитального характера (проектирование, строительство и ввод в эксплуатацию объектов природоохранного назначения по округу) - 55,2 млн. руб.; </w:t>
      </w:r>
      <w:r w:rsidRPr="00AF4B45">
        <w:br/>
        <w:t xml:space="preserve">- участие в финансировании научно-исследовательских разработок - 2,2 млн. руб.; </w:t>
      </w:r>
      <w:r w:rsidRPr="00AF4B45">
        <w:br/>
        <w:t xml:space="preserve">- экологическое образование и воспитание - 0,5 млн. руб.; </w:t>
      </w:r>
      <w:r w:rsidRPr="00AF4B45">
        <w:br/>
        <w:t xml:space="preserve">- совершенствование системы экологического мониторинга - 13,6 млн. руб.; </w:t>
      </w:r>
      <w:r w:rsidRPr="00AF4B45">
        <w:br/>
        <w:t xml:space="preserve">- поддержка особо охраняемых природных территорий - 2,2 млн. руб.; </w:t>
      </w:r>
      <w:r w:rsidRPr="00AF4B45">
        <w:br/>
        <w:t xml:space="preserve">- формирование банка данных по природным ресурсам ЯНАО - 36,0 млн. руб. </w:t>
      </w:r>
    </w:p>
    <w:p w:rsidR="00AF4B45" w:rsidRPr="00AF4B45" w:rsidRDefault="00AF4B45" w:rsidP="00AF4B45">
      <w:pPr>
        <w:pStyle w:val="a3"/>
        <w:jc w:val="center"/>
      </w:pPr>
      <w:r w:rsidRPr="00AF4B45">
        <w:rPr>
          <w:b/>
          <w:bCs/>
        </w:rPr>
        <w:t>Заключение</w:t>
      </w:r>
    </w:p>
    <w:p w:rsidR="00AF4B45" w:rsidRPr="00AF4B45" w:rsidRDefault="00AF4B45" w:rsidP="00390551">
      <w:pPr>
        <w:pStyle w:val="a3"/>
        <w:jc w:val="both"/>
      </w:pPr>
      <w:r w:rsidRPr="00AF4B45">
        <w:t xml:space="preserve">Таким образом, основываясь на вышесказанном, возможно сделать ряд выводов о социально-экономических процессах в автономном округе в 2002 году, которые характеризуются следующим: </w:t>
      </w:r>
    </w:p>
    <w:p w:rsidR="00D30A0B" w:rsidRPr="00AF4B45" w:rsidRDefault="00AF4B45" w:rsidP="00390551">
      <w:r w:rsidRPr="00AF4B45">
        <w:t xml:space="preserve">- ростом численности населения в основном за счет естественного прироста; </w:t>
      </w:r>
      <w:r w:rsidRPr="00AF4B45">
        <w:br/>
        <w:t xml:space="preserve">- дальнейшим ростом цен на продовольственные и непродовольственные товары темпами в среднем меньшими, чем в по РФ, и ростом цен на платные услуги темпами превышающими среднероссийские; </w:t>
      </w:r>
      <w:r w:rsidRPr="00AF4B45">
        <w:br/>
        <w:t xml:space="preserve">- ростом производства в базовых отраслях экономики автономного округа: нефтедобывающей и газовой; </w:t>
      </w:r>
      <w:r w:rsidRPr="00AF4B45">
        <w:br/>
        <w:t xml:space="preserve">- незначительным ростом инвестиционной активности при сохранении отраслями топливно-сырьевого комплекса статуса наиболее привлекательных отраслей для инвесторов; </w:t>
      </w:r>
      <w:r w:rsidRPr="00AF4B45">
        <w:br/>
        <w:t xml:space="preserve">- снижением темпов роста реальных располагаемых денежных доходов населения при сохраняющейся территориальной и отраслевой значительной дифференциации заработной платы; </w:t>
      </w:r>
      <w:r w:rsidRPr="00AF4B45">
        <w:br/>
        <w:t xml:space="preserve">- относительно стабильной ситуацией на рынке труда; </w:t>
      </w:r>
      <w:r w:rsidRPr="00AF4B45">
        <w:br/>
        <w:t>- сохранением значительной доли социальных расходов в консолидированном</w:t>
      </w:r>
      <w:bookmarkStart w:id="0" w:name="_GoBack"/>
      <w:bookmarkEnd w:id="0"/>
    </w:p>
    <w:sectPr w:rsidR="00D30A0B" w:rsidRPr="00AF4B45">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CE0" w:rsidRDefault="002B4CE0">
      <w:r>
        <w:separator/>
      </w:r>
    </w:p>
  </w:endnote>
  <w:endnote w:type="continuationSeparator" w:id="0">
    <w:p w:rsidR="002B4CE0" w:rsidRDefault="002B4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551" w:rsidRDefault="00707B33" w:rsidP="00390551">
    <w:pPr>
      <w:pStyle w:val="a4"/>
      <w:framePr w:wrap="auto" w:vAnchor="text" w:hAnchor="margin" w:xAlign="right" w:y="1"/>
      <w:rPr>
        <w:rStyle w:val="a6"/>
      </w:rPr>
    </w:pPr>
    <w:r>
      <w:rPr>
        <w:rStyle w:val="a6"/>
        <w:noProof/>
      </w:rPr>
      <w:t>1</w:t>
    </w:r>
  </w:p>
  <w:p w:rsidR="00390551" w:rsidRDefault="00390551" w:rsidP="0039055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CE0" w:rsidRDefault="002B4CE0">
      <w:r>
        <w:separator/>
      </w:r>
    </w:p>
  </w:footnote>
  <w:footnote w:type="continuationSeparator" w:id="0">
    <w:p w:rsidR="002B4CE0" w:rsidRDefault="002B4C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2D0"/>
    <w:rsid w:val="002B4CE0"/>
    <w:rsid w:val="00390551"/>
    <w:rsid w:val="00707B33"/>
    <w:rsid w:val="009233E0"/>
    <w:rsid w:val="00AF4B45"/>
    <w:rsid w:val="00D30A0B"/>
    <w:rsid w:val="00DB7E18"/>
    <w:rsid w:val="00DE0D70"/>
    <w:rsid w:val="00EB6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7814432D-9874-4AC4-8B66-44C2E2D9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B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F4B45"/>
    <w:pPr>
      <w:spacing w:before="100" w:beforeAutospacing="1" w:after="100" w:afterAutospacing="1"/>
    </w:pPr>
  </w:style>
  <w:style w:type="paragraph" w:styleId="a4">
    <w:name w:val="footer"/>
    <w:basedOn w:val="a"/>
    <w:link w:val="a5"/>
    <w:uiPriority w:val="99"/>
    <w:rsid w:val="0039055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90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12749</Words>
  <Characters>72671</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частная собственность</Company>
  <LinksUpToDate>false</LinksUpToDate>
  <CharactersWithSpaces>85250</CharactersWithSpaces>
  <SharedDoc>false</SharedDoc>
  <HLinks>
    <vt:vector size="66" baseType="variant">
      <vt:variant>
        <vt:i4>5963803</vt:i4>
      </vt:variant>
      <vt:variant>
        <vt:i4>-1</vt:i4>
      </vt:variant>
      <vt:variant>
        <vt:i4>1026</vt:i4>
      </vt:variant>
      <vt:variant>
        <vt:i4>1</vt:i4>
      </vt:variant>
      <vt:variant>
        <vt:lpwstr>http://depecon.gov.yamal.ru/report/2002/images/01.gif</vt:lpwstr>
      </vt:variant>
      <vt:variant>
        <vt:lpwstr/>
      </vt:variant>
      <vt:variant>
        <vt:i4>5963800</vt:i4>
      </vt:variant>
      <vt:variant>
        <vt:i4>-1</vt:i4>
      </vt:variant>
      <vt:variant>
        <vt:i4>1027</vt:i4>
      </vt:variant>
      <vt:variant>
        <vt:i4>1</vt:i4>
      </vt:variant>
      <vt:variant>
        <vt:lpwstr>http://depecon.gov.yamal.ru/report/2002/images/02.gif</vt:lpwstr>
      </vt:variant>
      <vt:variant>
        <vt:lpwstr/>
      </vt:variant>
      <vt:variant>
        <vt:i4>5963801</vt:i4>
      </vt:variant>
      <vt:variant>
        <vt:i4>-1</vt:i4>
      </vt:variant>
      <vt:variant>
        <vt:i4>1028</vt:i4>
      </vt:variant>
      <vt:variant>
        <vt:i4>1</vt:i4>
      </vt:variant>
      <vt:variant>
        <vt:lpwstr>http://depecon.gov.yamal.ru/report/2002/images/03.gif</vt:lpwstr>
      </vt:variant>
      <vt:variant>
        <vt:lpwstr/>
      </vt:variant>
      <vt:variant>
        <vt:i4>5963806</vt:i4>
      </vt:variant>
      <vt:variant>
        <vt:i4>-1</vt:i4>
      </vt:variant>
      <vt:variant>
        <vt:i4>1029</vt:i4>
      </vt:variant>
      <vt:variant>
        <vt:i4>1</vt:i4>
      </vt:variant>
      <vt:variant>
        <vt:lpwstr>http://depecon.gov.yamal.ru/report/2002/images/04.gif</vt:lpwstr>
      </vt:variant>
      <vt:variant>
        <vt:lpwstr/>
      </vt:variant>
      <vt:variant>
        <vt:i4>5963807</vt:i4>
      </vt:variant>
      <vt:variant>
        <vt:i4>-1</vt:i4>
      </vt:variant>
      <vt:variant>
        <vt:i4>1030</vt:i4>
      </vt:variant>
      <vt:variant>
        <vt:i4>1</vt:i4>
      </vt:variant>
      <vt:variant>
        <vt:lpwstr>http://depecon.gov.yamal.ru/report/2002/images/05.gif</vt:lpwstr>
      </vt:variant>
      <vt:variant>
        <vt:lpwstr/>
      </vt:variant>
      <vt:variant>
        <vt:i4>5963804</vt:i4>
      </vt:variant>
      <vt:variant>
        <vt:i4>-1</vt:i4>
      </vt:variant>
      <vt:variant>
        <vt:i4>1031</vt:i4>
      </vt:variant>
      <vt:variant>
        <vt:i4>1</vt:i4>
      </vt:variant>
      <vt:variant>
        <vt:lpwstr>http://depecon.gov.yamal.ru/report/2002/images/06.gif</vt:lpwstr>
      </vt:variant>
      <vt:variant>
        <vt:lpwstr/>
      </vt:variant>
      <vt:variant>
        <vt:i4>5963805</vt:i4>
      </vt:variant>
      <vt:variant>
        <vt:i4>-1</vt:i4>
      </vt:variant>
      <vt:variant>
        <vt:i4>1032</vt:i4>
      </vt:variant>
      <vt:variant>
        <vt:i4>1</vt:i4>
      </vt:variant>
      <vt:variant>
        <vt:lpwstr>http://depecon.gov.yamal.ru/report/2002/images/07.gif</vt:lpwstr>
      </vt:variant>
      <vt:variant>
        <vt:lpwstr/>
      </vt:variant>
      <vt:variant>
        <vt:i4>5963794</vt:i4>
      </vt:variant>
      <vt:variant>
        <vt:i4>-1</vt:i4>
      </vt:variant>
      <vt:variant>
        <vt:i4>1033</vt:i4>
      </vt:variant>
      <vt:variant>
        <vt:i4>1</vt:i4>
      </vt:variant>
      <vt:variant>
        <vt:lpwstr>http://depecon.gov.yamal.ru/report/2002/images/08.gif</vt:lpwstr>
      </vt:variant>
      <vt:variant>
        <vt:lpwstr/>
      </vt:variant>
      <vt:variant>
        <vt:i4>5963795</vt:i4>
      </vt:variant>
      <vt:variant>
        <vt:i4>-1</vt:i4>
      </vt:variant>
      <vt:variant>
        <vt:i4>1034</vt:i4>
      </vt:variant>
      <vt:variant>
        <vt:i4>1</vt:i4>
      </vt:variant>
      <vt:variant>
        <vt:lpwstr>http://depecon.gov.yamal.ru/report/2002/images/09.gif</vt:lpwstr>
      </vt:variant>
      <vt:variant>
        <vt:lpwstr/>
      </vt:variant>
      <vt:variant>
        <vt:i4>5898266</vt:i4>
      </vt:variant>
      <vt:variant>
        <vt:i4>-1</vt:i4>
      </vt:variant>
      <vt:variant>
        <vt:i4>1035</vt:i4>
      </vt:variant>
      <vt:variant>
        <vt:i4>1</vt:i4>
      </vt:variant>
      <vt:variant>
        <vt:lpwstr>http://depecon.gov.yamal.ru/report/2002/images/10.gif</vt:lpwstr>
      </vt:variant>
      <vt:variant>
        <vt:lpwstr/>
      </vt:variant>
      <vt:variant>
        <vt:i4>5898267</vt:i4>
      </vt:variant>
      <vt:variant>
        <vt:i4>-1</vt:i4>
      </vt:variant>
      <vt:variant>
        <vt:i4>1036</vt:i4>
      </vt:variant>
      <vt:variant>
        <vt:i4>1</vt:i4>
      </vt:variant>
      <vt:variant>
        <vt:lpwstr>http://depecon.gov.yamal.ru/report/2002/images/11.gif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Таня</dc:creator>
  <cp:keywords/>
  <dc:description/>
  <cp:lastModifiedBy>admin</cp:lastModifiedBy>
  <cp:revision>2</cp:revision>
  <dcterms:created xsi:type="dcterms:W3CDTF">2014-02-27T13:28:00Z</dcterms:created>
  <dcterms:modified xsi:type="dcterms:W3CDTF">2014-02-27T13:28:00Z</dcterms:modified>
</cp:coreProperties>
</file>