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A1" w:rsidRPr="001E2CA1" w:rsidRDefault="00B91D79" w:rsidP="001E2CA1">
      <w:pPr>
        <w:pStyle w:val="ad"/>
      </w:pPr>
      <w:r w:rsidRPr="001E2CA1">
        <w:t>Содержание</w:t>
      </w:r>
    </w:p>
    <w:p w:rsidR="00E92E00" w:rsidRPr="001E2CA1" w:rsidRDefault="00E92E00" w:rsidP="001E2CA1">
      <w:pPr>
        <w:pStyle w:val="ad"/>
      </w:pPr>
    </w:p>
    <w:p w:rsidR="00B91D79" w:rsidRPr="001E2CA1" w:rsidRDefault="00B91D79" w:rsidP="00540096">
      <w:pPr>
        <w:pStyle w:val="ad"/>
        <w:tabs>
          <w:tab w:val="left" w:leader="dot" w:pos="9214"/>
        </w:tabs>
        <w:ind w:firstLine="0"/>
        <w:jc w:val="left"/>
      </w:pPr>
      <w:r w:rsidRPr="001E2CA1">
        <w:t>Введение</w:t>
      </w:r>
    </w:p>
    <w:p w:rsidR="00B91D79" w:rsidRPr="001E2CA1" w:rsidRDefault="00B91D79" w:rsidP="00540096">
      <w:pPr>
        <w:pStyle w:val="ad"/>
        <w:tabs>
          <w:tab w:val="left" w:leader="dot" w:pos="9214"/>
        </w:tabs>
        <w:ind w:firstLine="0"/>
        <w:jc w:val="left"/>
      </w:pPr>
      <w:r w:rsidRPr="001E2CA1">
        <w:t>Глава 1 Конкуренция, ее виды и методы конкурентной борьбы</w:t>
      </w:r>
    </w:p>
    <w:p w:rsidR="00B91D79" w:rsidRPr="001E2CA1" w:rsidRDefault="00B91D79" w:rsidP="00540096">
      <w:pPr>
        <w:pStyle w:val="ad"/>
        <w:tabs>
          <w:tab w:val="left" w:leader="dot" w:pos="9214"/>
        </w:tabs>
        <w:ind w:firstLine="0"/>
        <w:jc w:val="left"/>
      </w:pPr>
      <w:r w:rsidRPr="001E2CA1">
        <w:t>Глава 2. Монополистическая конкуренция: понятие, признаки, особенности</w:t>
      </w:r>
    </w:p>
    <w:p w:rsidR="00B91D79" w:rsidRPr="001E2CA1" w:rsidRDefault="00B91D79" w:rsidP="00FD794A">
      <w:pPr>
        <w:pStyle w:val="ad"/>
        <w:tabs>
          <w:tab w:val="left" w:leader="dot" w:pos="9072"/>
        </w:tabs>
        <w:ind w:firstLine="0"/>
        <w:jc w:val="left"/>
      </w:pPr>
      <w:r w:rsidRPr="001E2CA1">
        <w:t>Глава 3. Особенности рынка монополистической конкуренции на примере рынка розничной торговли</w:t>
      </w:r>
    </w:p>
    <w:p w:rsidR="00FC0966" w:rsidRPr="001E2CA1" w:rsidRDefault="00FC0966" w:rsidP="00FD794A">
      <w:pPr>
        <w:pStyle w:val="ad"/>
        <w:tabs>
          <w:tab w:val="left" w:leader="dot" w:pos="9072"/>
        </w:tabs>
        <w:ind w:firstLine="0"/>
        <w:jc w:val="left"/>
      </w:pPr>
      <w:r w:rsidRPr="001E2CA1">
        <w:t>Заключение</w:t>
      </w:r>
    </w:p>
    <w:p w:rsidR="00FC0966" w:rsidRPr="001E2CA1" w:rsidRDefault="00FC0966" w:rsidP="00FD794A">
      <w:pPr>
        <w:pStyle w:val="ad"/>
        <w:tabs>
          <w:tab w:val="left" w:leader="dot" w:pos="9072"/>
        </w:tabs>
        <w:ind w:firstLine="0"/>
        <w:jc w:val="left"/>
      </w:pPr>
      <w:r w:rsidRPr="001E2CA1">
        <w:t>Список использованной литературы</w:t>
      </w:r>
    </w:p>
    <w:p w:rsidR="00FC0966" w:rsidRPr="001E2CA1" w:rsidRDefault="00FC0966" w:rsidP="00FD794A">
      <w:pPr>
        <w:pStyle w:val="ad"/>
        <w:tabs>
          <w:tab w:val="left" w:leader="dot" w:pos="9072"/>
        </w:tabs>
        <w:ind w:firstLine="0"/>
        <w:jc w:val="left"/>
      </w:pPr>
      <w:r w:rsidRPr="001E2CA1">
        <w:t>Приложение</w:t>
      </w:r>
    </w:p>
    <w:p w:rsidR="00B91D79" w:rsidRPr="001E2CA1" w:rsidRDefault="00B91D79" w:rsidP="00FD794A">
      <w:pPr>
        <w:pStyle w:val="ad"/>
        <w:tabs>
          <w:tab w:val="left" w:leader="dot" w:pos="9072"/>
        </w:tabs>
        <w:ind w:firstLine="0"/>
        <w:jc w:val="left"/>
      </w:pPr>
    </w:p>
    <w:p w:rsidR="00356FB9" w:rsidRPr="001E2CA1" w:rsidRDefault="00FD794A" w:rsidP="001E2CA1">
      <w:pPr>
        <w:pStyle w:val="ad"/>
      </w:pPr>
      <w:r>
        <w:br w:type="page"/>
      </w:r>
      <w:r w:rsidR="00356FB9" w:rsidRPr="001E2CA1">
        <w:t>Введение</w:t>
      </w:r>
    </w:p>
    <w:p w:rsidR="00356FB9" w:rsidRPr="001E2CA1" w:rsidRDefault="00356FB9" w:rsidP="001E2CA1">
      <w:pPr>
        <w:pStyle w:val="ad"/>
      </w:pPr>
    </w:p>
    <w:p w:rsidR="00356FB9" w:rsidRPr="001E2CA1" w:rsidRDefault="00356FB9" w:rsidP="001E2CA1">
      <w:pPr>
        <w:pStyle w:val="ad"/>
      </w:pPr>
      <w:r w:rsidRPr="001E2CA1">
        <w:t>Рыночный хозяйственный механизм есть форма проявления системы экономических интересов субъектов рыночной экономики. Как всякая экономическая форма, хозяйственный механизм имеет собственное содержание.</w:t>
      </w:r>
    </w:p>
    <w:p w:rsidR="00356FB9" w:rsidRPr="001E2CA1" w:rsidRDefault="00356FB9" w:rsidP="001E2CA1">
      <w:pPr>
        <w:pStyle w:val="ad"/>
      </w:pPr>
      <w:r w:rsidRPr="001E2CA1">
        <w:t>Хозяйственный механизм – это совокупность экономических, организационных и правовых методов» обеспечивающих реализацию экономических интересов и законов общества как системы и способствующих ее постоянному воспроизводству на качественно новой основе.</w:t>
      </w:r>
    </w:p>
    <w:p w:rsidR="00356FB9" w:rsidRPr="001E2CA1" w:rsidRDefault="00356FB9" w:rsidP="001E2CA1">
      <w:pPr>
        <w:pStyle w:val="ad"/>
      </w:pPr>
      <w:r w:rsidRPr="001E2CA1">
        <w:t>Хозяйственный механизм – одна из самых сложных экономических категорий. Он включает в себя всю систему экономических категорий в их самом различном соотношении. Труд, издержки, цена, прибыль, заработная плата, процент, рента, капитал, деньги, налог, кредит и т.д. – все эти категории, как и многие другие, здесь не перечисленные, но практически используемые в экономической жизни общества, так или иначе входят в хозяйственный механизм.</w:t>
      </w:r>
    </w:p>
    <w:p w:rsidR="00356FB9" w:rsidRPr="001E2CA1" w:rsidRDefault="00356FB9" w:rsidP="001E2CA1">
      <w:pPr>
        <w:pStyle w:val="ad"/>
      </w:pPr>
      <w:r w:rsidRPr="001E2CA1">
        <w:t>Изменения в социально-экономической жизни общества вызывают необходимость изменения экономических, правовых и организационных норм в использовании экономических категорий и законов прежде всего со стороны государства как хозяйствующего субъекта, призванного обеспечивать согласование в системе экономических отношений и законов. Другие хозяйствующие субъекты вынуждены учитывать изменения в хозяйственном механизме в своей деятельности.</w:t>
      </w:r>
    </w:p>
    <w:p w:rsidR="00356FB9" w:rsidRPr="001E2CA1" w:rsidRDefault="00356FB9" w:rsidP="001E2CA1">
      <w:pPr>
        <w:pStyle w:val="ad"/>
      </w:pPr>
      <w:r w:rsidRPr="001E2CA1">
        <w:t>Каждой социально-экономической системе свойствен свой хозяйственный механизм, определяемый характером господствующей собственности на средства производства. В рамках же однотипных социально-экономических систем могут иметь место значительные особенности в механизмах хозяйствования между странами. Для советской модели хозяйствования главным элементом в хозяйственном механизме был план, имеющий силу директивы, государственного закона. Его составляющими были цена, зарплата, себестоимость, налоги, процент и другие, регламентируемые государством.</w:t>
      </w:r>
    </w:p>
    <w:p w:rsidR="00356FB9" w:rsidRPr="001E2CA1" w:rsidRDefault="00356FB9" w:rsidP="001E2CA1">
      <w:pPr>
        <w:pStyle w:val="ad"/>
      </w:pPr>
      <w:r w:rsidRPr="001E2CA1">
        <w:t>В рыночной экономике в условиях частной собственности, свободы, инициативы и предпринимательства главным элементом хозяйственного механизма является конкуренция. Она обеспечивает координацию действий всех участников общественного производства через спрос, предложение, цены, издержки производства и т.д.</w:t>
      </w:r>
    </w:p>
    <w:p w:rsidR="00356FB9" w:rsidRPr="001E2CA1" w:rsidRDefault="00356FB9" w:rsidP="001E2CA1">
      <w:pPr>
        <w:pStyle w:val="ad"/>
      </w:pPr>
      <w:r w:rsidRPr="001E2CA1">
        <w:t>Проблема конкуренции и монополии в условиях процесса глобализации становится наиболее обсуждаемой в научных кругах, поскольку тенденция к глобализации не может не выдвигать новых требований к изучению данного вопроса. Существует множество форм функционирования предприятия: монополия, олигополия, чистая конкуренция, монополистическая конкуренция. Одной из наиболее интересных форм является монополистическая конкуренция, которая сочетает в себе элементы конкуренции и монополии.</w:t>
      </w:r>
    </w:p>
    <w:p w:rsidR="00356FB9" w:rsidRPr="001E2CA1" w:rsidRDefault="00356FB9" w:rsidP="001E2CA1">
      <w:pPr>
        <w:pStyle w:val="ad"/>
      </w:pPr>
      <w:r w:rsidRPr="001E2CA1">
        <w:t>Объектом нашей курсовой является монополистическая конкуренция.</w:t>
      </w:r>
    </w:p>
    <w:p w:rsidR="00356FB9" w:rsidRPr="001E2CA1" w:rsidRDefault="00356FB9" w:rsidP="001E2CA1">
      <w:pPr>
        <w:pStyle w:val="ad"/>
      </w:pPr>
      <w:r w:rsidRPr="001E2CA1">
        <w:t>Целью нашей курсовой работы является изучение особенностей монополистической конкуренции в современных условиях.</w:t>
      </w:r>
    </w:p>
    <w:p w:rsidR="00356FB9" w:rsidRPr="001E2CA1" w:rsidRDefault="00356FB9" w:rsidP="001E2CA1">
      <w:pPr>
        <w:pStyle w:val="ad"/>
      </w:pPr>
      <w:r w:rsidRPr="001E2CA1">
        <w:t>Для достижения поставленной цели необходимо решить следующие задачи:</w:t>
      </w:r>
    </w:p>
    <w:p w:rsidR="00356FB9" w:rsidRPr="001E2CA1" w:rsidRDefault="00356FB9" w:rsidP="001E2CA1">
      <w:pPr>
        <w:pStyle w:val="ad"/>
      </w:pPr>
      <w:r w:rsidRPr="001E2CA1">
        <w:t>рассмотреть понятие категории «конкуренция», «монополия»;</w:t>
      </w:r>
    </w:p>
    <w:p w:rsidR="00356FB9" w:rsidRPr="001E2CA1" w:rsidRDefault="00356FB9" w:rsidP="001E2CA1">
      <w:pPr>
        <w:pStyle w:val="ad"/>
      </w:pPr>
      <w:r w:rsidRPr="001E2CA1">
        <w:t>рассмотреть основные методы конкурентной борьбы на рынке;</w:t>
      </w:r>
    </w:p>
    <w:p w:rsidR="00356FB9" w:rsidRPr="001E2CA1" w:rsidRDefault="00356FB9" w:rsidP="001E2CA1">
      <w:pPr>
        <w:pStyle w:val="ad"/>
      </w:pPr>
      <w:r w:rsidRPr="001E2CA1">
        <w:t>рассмотреть сущность и признаки монополистической конкуренции;</w:t>
      </w:r>
    </w:p>
    <w:p w:rsidR="00356FB9" w:rsidRPr="001E2CA1" w:rsidRDefault="00356FB9" w:rsidP="001E2CA1">
      <w:pPr>
        <w:pStyle w:val="ad"/>
      </w:pPr>
      <w:r w:rsidRPr="001E2CA1">
        <w:t>выявить особенности монополистической конкуренции на примере рынка розничной торговли.</w:t>
      </w:r>
    </w:p>
    <w:p w:rsidR="00356FB9" w:rsidRPr="001E2CA1" w:rsidRDefault="00356FB9" w:rsidP="001E2CA1">
      <w:pPr>
        <w:pStyle w:val="ad"/>
      </w:pPr>
    </w:p>
    <w:p w:rsidR="0025434E" w:rsidRPr="001E2CA1" w:rsidRDefault="00FD794A" w:rsidP="001E2CA1">
      <w:pPr>
        <w:pStyle w:val="ad"/>
      </w:pPr>
      <w:r>
        <w:br w:type="page"/>
      </w:r>
      <w:r w:rsidR="00B91D79" w:rsidRPr="001E2CA1">
        <w:t xml:space="preserve">Глава </w:t>
      </w:r>
      <w:r w:rsidR="0025434E" w:rsidRPr="001E2CA1">
        <w:t>1 Конкуренция, ее виды и методы конкурентной борьбы</w:t>
      </w:r>
    </w:p>
    <w:p w:rsidR="0025434E" w:rsidRPr="001E2CA1" w:rsidRDefault="0025434E" w:rsidP="001E2CA1">
      <w:pPr>
        <w:pStyle w:val="ad"/>
      </w:pPr>
    </w:p>
    <w:p w:rsidR="0025434E" w:rsidRPr="001E2CA1" w:rsidRDefault="0025434E" w:rsidP="001E2CA1">
      <w:pPr>
        <w:pStyle w:val="ad"/>
      </w:pPr>
      <w:r w:rsidRPr="001E2CA1">
        <w:t>В экономической литературе существует множество определений категории «конкуренция».</w:t>
      </w:r>
    </w:p>
    <w:p w:rsidR="001E2CA1" w:rsidRPr="001E2CA1" w:rsidRDefault="0025434E" w:rsidP="001E2CA1">
      <w:pPr>
        <w:pStyle w:val="ad"/>
      </w:pPr>
      <w:r w:rsidRPr="001E2CA1">
        <w:t>По определению классической политической экономии, конкуренция есть соревнование ради прибыли. Однако сам объект этого соревнования превращает его в борьбу, принимающую самые разные, часто весьма жесткие формы и методы. Это борьба за более выгодные условия покупки сырья и продажи товаров</w:t>
      </w:r>
      <w:r w:rsidR="00F84D64" w:rsidRPr="001E2CA1">
        <w:footnoteReference w:id="1"/>
      </w:r>
      <w:r w:rsidRPr="001E2CA1">
        <w:t>.</w:t>
      </w:r>
    </w:p>
    <w:p w:rsidR="0025434E" w:rsidRPr="001E2CA1" w:rsidRDefault="0025434E" w:rsidP="001E2CA1">
      <w:pPr>
        <w:pStyle w:val="ad"/>
      </w:pPr>
      <w:r w:rsidRPr="001E2CA1">
        <w:t>В экономической литературе приводятся и такие экономически содержательные ее определения, как отношения между хозяйствующими субъектами по поводу сравнения экономических результатов их деятельности; практически принудительная форма реализации объективно действующих законов рыночной экономики.</w:t>
      </w:r>
    </w:p>
    <w:p w:rsidR="0025434E" w:rsidRPr="001E2CA1" w:rsidRDefault="0025434E" w:rsidP="001E2CA1">
      <w:pPr>
        <w:pStyle w:val="ad"/>
      </w:pPr>
      <w:r w:rsidRPr="001E2CA1">
        <w:t>Конкуренция – это соперничество между участниками рыночного хозяйства за лучшие условия производства, купли и продажи товаров. Существуют и другие определения конкуренции. Например, конкуренция рассматривается как экономическая борьба, соперничество между обособленными производителями продукции, работ, услуг за удовлетворение своих интересов, связанных с продажей этой продукции, выполнением работ, оказанием услуг одним и тем же потребителям, или как состязательная работа между товаропроизводителями за наиболее выгодные сферы приложения капитала, рынки сбыта, источники сырья и одновременно весьма действенный механизм стихийного регулирования пропорций общественного производства [3, с.179].</w:t>
      </w:r>
    </w:p>
    <w:p w:rsidR="0025434E" w:rsidRPr="001E2CA1" w:rsidRDefault="0025434E" w:rsidP="001E2CA1">
      <w:pPr>
        <w:pStyle w:val="ad"/>
      </w:pPr>
      <w:r w:rsidRPr="001E2CA1">
        <w:t>Конкуренция играет важную роль в обществе. Она является стимулятором деятельности самостоятельных хозяйственных единиц. Через нее производители в определенной степени контролируют друг друга. Конкуренция – это борьба, которая в конечном итоге вызывает спад цен, снижении производственных затрат, росту качества товаров и применении результатов научного прогресса.</w:t>
      </w:r>
    </w:p>
    <w:p w:rsidR="0025434E" w:rsidRPr="001E2CA1" w:rsidRDefault="0025434E" w:rsidP="001E2CA1">
      <w:pPr>
        <w:pStyle w:val="ad"/>
      </w:pPr>
      <w:r w:rsidRPr="001E2CA1">
        <w:t>Однако конкуренция имеет и обратную сторону. Она вызывает противоречия интересов экономических субъектов, вызывает расслоения и дифференциацию в общественных слоях, вызывает желание создать в экономике монополии, является источником появления непроизводительных затрат. В таком случае, без вмешательства со стороны государства, конкуренция является разрушающей силой.</w:t>
      </w:r>
    </w:p>
    <w:p w:rsidR="0025434E" w:rsidRPr="001E2CA1" w:rsidRDefault="0025434E" w:rsidP="001E2CA1">
      <w:pPr>
        <w:pStyle w:val="ad"/>
      </w:pPr>
      <w:r w:rsidRPr="001E2CA1">
        <w:t>На всех стадиях развития экономики конкуренция является главным средством развития производства. Многие экономисты считают, что конкуренция вызывает рост эффективности производства. Конкуренция с е соперническим духом заставляет производителя искать новые способы развития производства, используя новейшие достижения науки и техники, совершенствуя технологию производства.</w:t>
      </w:r>
    </w:p>
    <w:p w:rsidR="0025434E" w:rsidRPr="001E2CA1" w:rsidRDefault="0025434E" w:rsidP="001E2CA1">
      <w:pPr>
        <w:pStyle w:val="ad"/>
      </w:pPr>
      <w:r w:rsidRPr="001E2CA1">
        <w:t>В современных условиях используются силовые методы конкурентной борьбы. К ним относятся такие экономические методы, как лишение конкурента сырья, рынков сбыта, кредитов, скупка патентов, сбивание цен, захват рынков рабочей силы, выпуск на рынок новых марок и видов изделий и т.д. используются также методы прямого насилия: поджоги, взрывы, убийства опасных конкурентов, шпионаж, государственные перевороты и т.д.</w:t>
      </w:r>
      <w:r w:rsidR="00F84D64" w:rsidRPr="001E2CA1">
        <w:footnoteReference w:id="2"/>
      </w:r>
    </w:p>
    <w:p w:rsidR="0025434E" w:rsidRPr="001E2CA1" w:rsidRDefault="0025434E" w:rsidP="001E2CA1">
      <w:pPr>
        <w:pStyle w:val="ad"/>
      </w:pPr>
      <w:r w:rsidRPr="001E2CA1">
        <w:t>Во всех странах применяются ценовые методы конкурентной борьбы. К ним относится применение монопольно высоких и монопольно низких цен. Можно также привести используемый монополиями метод ценовой дискриминации (разные цены в разных местностях, демпинговые цены).</w:t>
      </w:r>
    </w:p>
    <w:p w:rsidR="0025434E" w:rsidRPr="001E2CA1" w:rsidRDefault="0025434E" w:rsidP="001E2CA1">
      <w:pPr>
        <w:pStyle w:val="ad"/>
      </w:pPr>
      <w:r w:rsidRPr="001E2CA1">
        <w:t>Появляются и методы неценовой конкурентной борьбы. Они подразделяются на две группы</w:t>
      </w:r>
      <w:r w:rsidR="00F84D64" w:rsidRPr="001E2CA1">
        <w:footnoteReference w:id="3"/>
      </w:r>
      <w:r w:rsidRPr="001E2CA1">
        <w:t>:</w:t>
      </w:r>
    </w:p>
    <w:p w:rsidR="0025434E" w:rsidRPr="001E2CA1" w:rsidRDefault="0025434E" w:rsidP="001E2CA1">
      <w:pPr>
        <w:pStyle w:val="ad"/>
      </w:pPr>
      <w:r w:rsidRPr="001E2CA1">
        <w:t>конкуренция по продукту;</w:t>
      </w:r>
    </w:p>
    <w:p w:rsidR="0025434E" w:rsidRPr="001E2CA1" w:rsidRDefault="0025434E" w:rsidP="001E2CA1">
      <w:pPr>
        <w:pStyle w:val="ad"/>
      </w:pPr>
      <w:r w:rsidRPr="001E2CA1">
        <w:t>конкуренция по условиям продаж.</w:t>
      </w:r>
    </w:p>
    <w:p w:rsidR="0025434E" w:rsidRPr="001E2CA1" w:rsidRDefault="0025434E" w:rsidP="001E2CA1">
      <w:pPr>
        <w:pStyle w:val="ad"/>
      </w:pPr>
      <w:r w:rsidRPr="001E2CA1">
        <w:t>Конкуренция по продукту – стремление захватить часть отраслевого рынка конкурента путем выпуска продукции нового ассортимента и качества при сохранении примерно одной и той же цены. Например, в США продается одновременно 10 тыс. сортов муки, более 4 тыс. видов консервированной кукурузы, 50 сортов горчицы.</w:t>
      </w:r>
    </w:p>
    <w:p w:rsidR="0025434E" w:rsidRPr="001E2CA1" w:rsidRDefault="0025434E" w:rsidP="001E2CA1">
      <w:pPr>
        <w:pStyle w:val="ad"/>
      </w:pPr>
      <w:r w:rsidRPr="001E2CA1">
        <w:t>Конкуренция по условиям продаж – использование многочисленных средств для привлечения покупателей к товарам. Эта конкуренция включает рекламу, услуги по сервисному обслуживанию, льготы постоянным покупателям.</w:t>
      </w:r>
    </w:p>
    <w:p w:rsidR="0025434E" w:rsidRPr="001E2CA1" w:rsidRDefault="0025434E" w:rsidP="001E2CA1">
      <w:pPr>
        <w:pStyle w:val="ad"/>
      </w:pPr>
      <w:r w:rsidRPr="001E2CA1">
        <w:t>Особыми методами неценовой конкуренции являются продажа товаров в рассрочку и лизинг. Последний означает пользование средствами производства вместо приобретения их в собственность, т. е. долгосрочную аренду машин и оборудования, транспортных средств, сооружений производственного назначения. В отличие от классической аренды взаимоотношения сторон при лизинге строятся на условиях договора купли-продажи.</w:t>
      </w:r>
    </w:p>
    <w:p w:rsidR="0025434E" w:rsidRPr="001E2CA1" w:rsidRDefault="0025434E" w:rsidP="001E2CA1">
      <w:pPr>
        <w:pStyle w:val="ad"/>
      </w:pPr>
      <w:r w:rsidRPr="001E2CA1">
        <w:t>В экономической литературе большое внимание уделяется видам конкуренции. В частности, различают совершенную и несовершенную конкуренцию.</w:t>
      </w:r>
    </w:p>
    <w:p w:rsidR="0025434E" w:rsidRPr="001E2CA1" w:rsidRDefault="0025434E" w:rsidP="001E2CA1">
      <w:pPr>
        <w:pStyle w:val="ad"/>
      </w:pPr>
      <w:r w:rsidRPr="001E2CA1">
        <w:t>Совершенная конкуренция – это свободное соперничество многочисленных производителей, создающих примерно одинаковые объемы идентичной продукции. Такой конкуренции присущи следующие черты</w:t>
      </w:r>
      <w:r w:rsidR="00F84D64" w:rsidRPr="001E2CA1">
        <w:footnoteReference w:id="4"/>
      </w:r>
      <w:r w:rsidRPr="001E2CA1">
        <w:t>:</w:t>
      </w:r>
    </w:p>
    <w:p w:rsidR="0025434E" w:rsidRPr="001E2CA1" w:rsidRDefault="0025434E" w:rsidP="001E2CA1">
      <w:pPr>
        <w:pStyle w:val="ad"/>
      </w:pPr>
      <w:r w:rsidRPr="001E2CA1">
        <w:t>на рынке действуют множество фирм, производящих одинаковую продукцию. Фирма в этом случае имеет относительно небольшой размер, поэтому объем ее производства незначителен;</w:t>
      </w:r>
    </w:p>
    <w:p w:rsidR="0025434E" w:rsidRPr="001E2CA1" w:rsidRDefault="0025434E" w:rsidP="001E2CA1">
      <w:pPr>
        <w:pStyle w:val="ad"/>
      </w:pPr>
      <w:r w:rsidRPr="001E2CA1">
        <w:t>возможность свободного доступа в различные производственные секторы;</w:t>
      </w:r>
    </w:p>
    <w:p w:rsidR="0025434E" w:rsidRPr="001E2CA1" w:rsidRDefault="0025434E" w:rsidP="001E2CA1">
      <w:pPr>
        <w:pStyle w:val="ad"/>
      </w:pPr>
      <w:r w:rsidRPr="001E2CA1">
        <w:t>продукт однороден, он производится множеством предприятий в рамках одной отрасли;</w:t>
      </w:r>
    </w:p>
    <w:p w:rsidR="0025434E" w:rsidRPr="001E2CA1" w:rsidRDefault="0025434E" w:rsidP="001E2CA1">
      <w:pPr>
        <w:pStyle w:val="ad"/>
      </w:pPr>
      <w:r w:rsidRPr="001E2CA1">
        <w:t>хорошая информированность всех участников рынка. Все субъекты купли-продажи должны знать цены на рынке, величину спроса и предложения.</w:t>
      </w:r>
    </w:p>
    <w:p w:rsidR="0025434E" w:rsidRPr="001E2CA1" w:rsidRDefault="0025434E" w:rsidP="001E2CA1">
      <w:pPr>
        <w:pStyle w:val="ad"/>
      </w:pPr>
      <w:r w:rsidRPr="001E2CA1">
        <w:t>Совершенная конкуренция основана на частной собственности и хозяйственной обособленности. Связь между производителями осуществляется только через рынок. Соблюдение этих условий обеспечивает свободную связь между производителями и потребителями. Рыночные отношения здесь представлены парным отношением «продавец-покупатель».</w:t>
      </w:r>
    </w:p>
    <w:p w:rsidR="0025434E" w:rsidRPr="001E2CA1" w:rsidRDefault="0025434E" w:rsidP="001E2CA1">
      <w:pPr>
        <w:pStyle w:val="ad"/>
      </w:pPr>
      <w:r w:rsidRPr="001E2CA1">
        <w:t>Совершенная, или свободная, конкуренция была типична для экономики развитых стран до середины XIX в. Во второй половине XIX – начале XX в. появляются крупные предприятия и их объединения, которые охватывают отраслевые рынки. Активизируется влияние государства на рыночные отношения. В силу этого возникает несовершенная конкуренция. Она, в отличие от совершенной, ограничена влиянием монополий и государства.</w:t>
      </w:r>
    </w:p>
    <w:p w:rsidR="0025434E" w:rsidRPr="001E2CA1" w:rsidRDefault="0025434E" w:rsidP="001E2CA1">
      <w:pPr>
        <w:pStyle w:val="ad"/>
      </w:pPr>
      <w:r w:rsidRPr="001E2CA1">
        <w:t>Несовершенная конкуренция – это ситуация, когда на рынке присутствуют продавцы такого количества товаров, которое существенно влияет на их цену.</w:t>
      </w:r>
    </w:p>
    <w:p w:rsidR="0025434E" w:rsidRPr="001E2CA1" w:rsidRDefault="0025434E" w:rsidP="001E2CA1">
      <w:pPr>
        <w:pStyle w:val="ad"/>
      </w:pPr>
      <w:r w:rsidRPr="001E2CA1">
        <w:t>Существуют следующие основные модели несовершенной конкуренции: монополия, монополистическая конкуренция и олигополия.</w:t>
      </w:r>
    </w:p>
    <w:p w:rsidR="0025434E" w:rsidRPr="001E2CA1" w:rsidRDefault="0025434E" w:rsidP="001E2CA1">
      <w:pPr>
        <w:pStyle w:val="ad"/>
      </w:pPr>
      <w:r w:rsidRPr="001E2CA1">
        <w:t>Условия, в которых обычно протекает конкуренция, называются рыночной структурой. Рыночные структуры различаются между собой по количеству и размеру фирм в отрасли, характеру выпускаемой продукции и контроля над ценами, достаточности рыночной информации, а также условиям входа на рынок и выхода из него</w:t>
      </w:r>
      <w:r w:rsidR="00F84D64" w:rsidRPr="001E2CA1">
        <w:footnoteReference w:id="5"/>
      </w:r>
      <w:r w:rsidRPr="001E2CA1">
        <w:t>.</w:t>
      </w:r>
    </w:p>
    <w:p w:rsidR="0025434E" w:rsidRPr="001E2CA1" w:rsidRDefault="0025434E" w:rsidP="001E2CA1">
      <w:pPr>
        <w:pStyle w:val="ad"/>
      </w:pPr>
      <w:r w:rsidRPr="001E2CA1">
        <w:t>Совершенная конкуренция и монополия представляют собой «идеальные» (абстрактные) типы рыночных структур. Рынков, полностью соответствующих параметрам этих структур, реально просто не существует.</w:t>
      </w:r>
    </w:p>
    <w:p w:rsidR="0025434E" w:rsidRPr="001E2CA1" w:rsidRDefault="0025434E" w:rsidP="001E2CA1">
      <w:pPr>
        <w:pStyle w:val="ad"/>
      </w:pPr>
      <w:r w:rsidRPr="001E2CA1">
        <w:t>Монополистическая конкуренция и олигополия – реальные типы рыночных структур. Они характерны для огромного большинства рынков. К числу олигополистических структур относятся рынки алюминия и табачных изделий, дальней телефонной связи и телевидения. Монополистическая конкуренция достаточно точно соответствует большинству отраслей сферы обслуживания (рестораны, станции технического обслуживания, банки).</w:t>
      </w:r>
    </w:p>
    <w:p w:rsidR="00FD794A" w:rsidRDefault="00FD794A" w:rsidP="001E2CA1">
      <w:pPr>
        <w:pStyle w:val="ad"/>
      </w:pPr>
    </w:p>
    <w:p w:rsidR="00F57006" w:rsidRPr="001E2CA1" w:rsidRDefault="00B91D79" w:rsidP="001E2CA1">
      <w:pPr>
        <w:pStyle w:val="ad"/>
      </w:pPr>
      <w:r w:rsidRPr="001E2CA1">
        <w:t xml:space="preserve">Глава </w:t>
      </w:r>
      <w:r w:rsidR="00F57006" w:rsidRPr="001E2CA1">
        <w:t>2. Монополистическая конкуренция: понятие, признаки, особенности</w:t>
      </w:r>
    </w:p>
    <w:p w:rsidR="00F57006" w:rsidRPr="001E2CA1" w:rsidRDefault="00F57006" w:rsidP="001E2CA1">
      <w:pPr>
        <w:pStyle w:val="ad"/>
      </w:pPr>
    </w:p>
    <w:p w:rsidR="003E2E54" w:rsidRPr="001E2CA1" w:rsidRDefault="003E2E54" w:rsidP="001E2CA1">
      <w:pPr>
        <w:pStyle w:val="ad"/>
      </w:pPr>
      <w:r w:rsidRPr="001E2CA1">
        <w:t>Идея монополистической конкуренции принадлежит английскому экономисту П. Стаффу, который сформулировал ее еще в 20-е гг. XX в. Основные положения теории монополистической конкуренции были сформулированы Э. Чемберленом (США) и Д. Робинсоном (Великобритания). Эта теория обосновывает устранение барьера между конкуренцией и монополией, соединение их друг с другом, без устранения различий между ними.</w:t>
      </w:r>
    </w:p>
    <w:p w:rsidR="003E2E54" w:rsidRPr="001E2CA1" w:rsidRDefault="003E2E54" w:rsidP="001E2CA1">
      <w:pPr>
        <w:pStyle w:val="ad"/>
      </w:pPr>
      <w:r w:rsidRPr="001E2CA1">
        <w:t>Монополистическая конкуренция</w:t>
      </w:r>
      <w:r w:rsidR="007F5C1E" w:rsidRPr="001E2CA1">
        <w:t xml:space="preserve"> – </w:t>
      </w:r>
      <w:r w:rsidRPr="001E2CA1">
        <w:t>это такая рыночная ситуация, когда сравнительно большое число некрупных фирм производят и реализуют однородную, но дифференцированную продукцию</w:t>
      </w:r>
      <w:r w:rsidR="007F5C1E" w:rsidRPr="001E2CA1">
        <w:footnoteReference w:id="6"/>
      </w:r>
      <w:r w:rsidRPr="001E2CA1">
        <w:t>.</w:t>
      </w:r>
    </w:p>
    <w:p w:rsidR="001E2CA1" w:rsidRPr="001E2CA1" w:rsidRDefault="003E2E54" w:rsidP="001E2CA1">
      <w:pPr>
        <w:pStyle w:val="ad"/>
      </w:pPr>
      <w:r w:rsidRPr="001E2CA1">
        <w:t>Монополистическая конкуренция не является ни совершенно конкурентной, ни совершенно монопольной. Для нее характерно значительное число товаропроизводителей, которое превышает минимум 25 субъектов (хотя четких границ здесь не существует). Однако каждое предприятие в определенных рамках обладает контролем над ценой.</w:t>
      </w:r>
      <w:r w:rsidR="00F57006" w:rsidRPr="001E2CA1">
        <w:t xml:space="preserve"> Монополистическая конкуренция широко распространена в производстве предметов потребления, легкой промышленности, сфере услуг (выпуск хлебобулочных и кондитерских изделий, нижнего белья и верхней одежды, моющих средств (шампуней) и парфюмерии, меховых изделий и обуви и т. д.).</w:t>
      </w:r>
    </w:p>
    <w:p w:rsidR="003E2E54" w:rsidRPr="001E2CA1" w:rsidRDefault="003E2E54" w:rsidP="001E2CA1">
      <w:pPr>
        <w:pStyle w:val="ad"/>
      </w:pPr>
      <w:r w:rsidRPr="001E2CA1">
        <w:t>Поскольку монополистическая конкуренция включает в себя переплетение моделей совершенной конкуренции и монополии, можно выделить следующие ее признаки</w:t>
      </w:r>
      <w:r w:rsidR="0047098C" w:rsidRPr="001E2CA1">
        <w:footnoteReference w:id="7"/>
      </w:r>
      <w:r w:rsidRPr="001E2CA1">
        <w:t>:</w:t>
      </w:r>
    </w:p>
    <w:p w:rsidR="003E2E54" w:rsidRPr="001E2CA1" w:rsidRDefault="003E2E54" w:rsidP="001E2CA1">
      <w:pPr>
        <w:pStyle w:val="ad"/>
      </w:pPr>
      <w:r w:rsidRPr="001E2CA1">
        <w:t>как и при совершенной конкуренции, в отрасли действует много фирм;</w:t>
      </w:r>
    </w:p>
    <w:p w:rsidR="003E2E54" w:rsidRPr="001E2CA1" w:rsidRDefault="003E2E54" w:rsidP="001E2CA1">
      <w:pPr>
        <w:pStyle w:val="ad"/>
      </w:pPr>
      <w:r w:rsidRPr="001E2CA1">
        <w:t>все фирмы имеют определенную возможность устанавливать цену на производимые ими товары, так как каждая из них реализует продукт, отличный от товаров других фирм;</w:t>
      </w:r>
    </w:p>
    <w:p w:rsidR="003E2E54" w:rsidRPr="001E2CA1" w:rsidRDefault="003E2E54" w:rsidP="001E2CA1">
      <w:pPr>
        <w:pStyle w:val="ad"/>
      </w:pPr>
      <w:r w:rsidRPr="001E2CA1">
        <w:t>производство дифференцированного продукта (частично либо полностью заменяемого) позволяет фирме устанавливать на него цену и изменять ее в зависимости от действий конкурентов, производящих товары-субституты;</w:t>
      </w:r>
    </w:p>
    <w:p w:rsidR="003E2E54" w:rsidRPr="001E2CA1" w:rsidRDefault="003E2E54" w:rsidP="001E2CA1">
      <w:pPr>
        <w:pStyle w:val="ad"/>
      </w:pPr>
      <w:r w:rsidRPr="001E2CA1">
        <w:t>каждая фирма обладает относительно небольшой долей рынка;</w:t>
      </w:r>
    </w:p>
    <w:p w:rsidR="003E2E54" w:rsidRPr="001E2CA1" w:rsidRDefault="003E2E54" w:rsidP="001E2CA1">
      <w:pPr>
        <w:pStyle w:val="ad"/>
      </w:pPr>
      <w:r w:rsidRPr="001E2CA1">
        <w:t>ограниченный контроль над ценами;</w:t>
      </w:r>
    </w:p>
    <w:p w:rsidR="003E2E54" w:rsidRPr="001E2CA1" w:rsidRDefault="003E2E54" w:rsidP="001E2CA1">
      <w:pPr>
        <w:pStyle w:val="ad"/>
      </w:pPr>
      <w:r w:rsidRPr="001E2CA1">
        <w:t>невозможность тайного сговора, согласованных действий фирм</w:t>
      </w:r>
    </w:p>
    <w:p w:rsidR="003E2E54" w:rsidRPr="001E2CA1" w:rsidRDefault="003E2E54" w:rsidP="001E2CA1">
      <w:pPr>
        <w:pStyle w:val="ad"/>
      </w:pPr>
      <w:r w:rsidRPr="001E2CA1">
        <w:t>с целью ограничения объема производства и искусственного повышения цен;</w:t>
      </w:r>
    </w:p>
    <w:p w:rsidR="003E2E54" w:rsidRPr="001E2CA1" w:rsidRDefault="003E2E54" w:rsidP="001E2CA1">
      <w:pPr>
        <w:pStyle w:val="ad"/>
      </w:pPr>
      <w:r w:rsidRPr="001E2CA1">
        <w:t>отсутствие взаимозависимости фирм в отрасли;</w:t>
      </w:r>
    </w:p>
    <w:p w:rsidR="003E2E54" w:rsidRPr="001E2CA1" w:rsidRDefault="003E2E54" w:rsidP="001E2CA1">
      <w:pPr>
        <w:pStyle w:val="ad"/>
      </w:pPr>
      <w:r w:rsidRPr="001E2CA1">
        <w:t>самостоятельность фирм в определении своей структуры;</w:t>
      </w:r>
    </w:p>
    <w:p w:rsidR="003E2E54" w:rsidRPr="001E2CA1" w:rsidRDefault="003E2E54" w:rsidP="001E2CA1">
      <w:pPr>
        <w:pStyle w:val="ad"/>
      </w:pPr>
      <w:r w:rsidRPr="001E2CA1">
        <w:t>свобода входа и выхода фирм из отрасли.</w:t>
      </w:r>
    </w:p>
    <w:p w:rsidR="003E2E54" w:rsidRPr="001E2CA1" w:rsidRDefault="003E2E54" w:rsidP="001E2CA1">
      <w:pPr>
        <w:pStyle w:val="ad"/>
      </w:pPr>
      <w:r w:rsidRPr="001E2CA1">
        <w:t>Американский экономист Э. Чемберлин, обстоятельно разработавший теорию монополистической конкуренции еще в 30-х годах нашего века, описывает ее рыночное содержание следующим образом: «Вместе с дифференциацией появляется монополия, и по мере усиления дифференциации элементы монополии становятся все значительнее. Везде, где в какой-либо степени существует дифференциация, каждый продавец обладает абсолютной монополией на свой собственный продукт, но вместе с тем подвергается конкуренции со стороны более или менее несовершенных заменителей. Поскольку каждый является монополистом и все-таки имеет конкурентов, то мы вправе говорить о них как о «конкурирующих монополистах»; и о силах, действующих в подобной ситуации, мы можем с полным основанием гово</w:t>
      </w:r>
      <w:r w:rsidR="00F57006" w:rsidRPr="001E2CA1">
        <w:t>р</w:t>
      </w:r>
      <w:r w:rsidRPr="001E2CA1">
        <w:t>ить как о силах «монополистической конкуренции»... Там, где продукт дифференцирован, каждый продавец поистине является одновременно и монополистом, и конкурентом».</w:t>
      </w:r>
    </w:p>
    <w:p w:rsidR="003E2E54" w:rsidRPr="001E2CA1" w:rsidRDefault="003E2E54" w:rsidP="001E2CA1">
      <w:pPr>
        <w:pStyle w:val="ad"/>
      </w:pPr>
      <w:r w:rsidRPr="001E2CA1">
        <w:t>В условиях монополистической конкуренции получают развитие неценовые факторы соперничества: дифференциация продукта, качество продукции, реклама, послепродажное обслуживание, торговые марки. Это объясняется тем, что каждая фирма производит свой собственный продукт и проявляет особый интерес к его реализации. Дифференциация продукта позволяет предложить покупателям самые разнообразные по марке, типу, сти</w:t>
      </w:r>
      <w:r w:rsidR="00711344" w:rsidRPr="001E2CA1">
        <w:t>лю товары. Улучшение каче</w:t>
      </w:r>
      <w:r w:rsidRPr="001E2CA1">
        <w:t>ства и потребительских свойств продукта обеспечивает расширение рынка сбыта продукции и вытеснение конкурентов, которые не заботятся о совершенствовании своих изделий</w:t>
      </w:r>
      <w:r w:rsidR="007F5C1E" w:rsidRPr="001E2CA1">
        <w:footnoteReference w:id="8"/>
      </w:r>
      <w:r w:rsidRPr="001E2CA1">
        <w:t>.</w:t>
      </w:r>
    </w:p>
    <w:p w:rsidR="003E2E54" w:rsidRPr="001E2CA1" w:rsidRDefault="003E2E54" w:rsidP="001E2CA1">
      <w:pPr>
        <w:pStyle w:val="ad"/>
      </w:pPr>
      <w:r w:rsidRPr="001E2CA1">
        <w:t>Фирмы получают монопольную власть за счет дифференциации товара, поэтому такая рыночная структура получила еще название монополии по дифференциации товара. Дифференциация товара подразумевает, что никакие две фирмы не производят один и тот же товар. При этом вполне возможно, что некоторые изделия относятся к одному виду, но каждое из них имеет свои отличительные черты, так что фактически они являются разными товарами.</w:t>
      </w:r>
    </w:p>
    <w:p w:rsidR="003E2E54" w:rsidRPr="001E2CA1" w:rsidRDefault="003E2E54" w:rsidP="001E2CA1">
      <w:pPr>
        <w:pStyle w:val="ad"/>
      </w:pPr>
      <w:r w:rsidRPr="001E2CA1">
        <w:t>Приспосабливать потребительский спрос к продукту призвана реклама. В отношении ее существ</w:t>
      </w:r>
      <w:r w:rsidR="00711344" w:rsidRPr="001E2CA1">
        <w:t>уют разные суждения. Одни эконо</w:t>
      </w:r>
      <w:r w:rsidRPr="001E2CA1">
        <w:t>мисты утверждают, что огромные расходы на рекламу (в США — 100 млрд долларов в год, в мире — 500 млрд долларов в год) носят расточительный характер и ослабляют конкуренцию. Реклама довольно часто вводит в заблуждение покупателей, ставит средства массовой информации в зависимость от рекламодателей, что ведет к искажению объективности передаваемой информации. Другие экономисты считают, что реклама позволяет покупателям получать информацию о новых товарах, производителях, направлениях моды. Она стимулирует повышение уровня эффективности производства, обостряет конкурентную борьбу, препятствует монополизации рынков благодаря передаче информа</w:t>
      </w:r>
      <w:r w:rsidR="00F57006" w:rsidRPr="001E2CA1">
        <w:t>ции о новых производствах и прод</w:t>
      </w:r>
      <w:r w:rsidRPr="001E2CA1">
        <w:t>уктах.</w:t>
      </w:r>
    </w:p>
    <w:p w:rsidR="003E2E54" w:rsidRPr="001E2CA1" w:rsidRDefault="003E2E54" w:rsidP="001E2CA1">
      <w:pPr>
        <w:pStyle w:val="ad"/>
      </w:pPr>
      <w:r w:rsidRPr="001E2CA1">
        <w:t>Применение ценовых методов соперничества</w:t>
      </w:r>
      <w:r w:rsidR="00F57006" w:rsidRPr="001E2CA1">
        <w:t xml:space="preserve"> в условиях монопо</w:t>
      </w:r>
      <w:r w:rsidRPr="001E2CA1">
        <w:t>листической конкуренции обусловлено невозможностью тайного сговора между фирмами по вопросу уровня цен, так как предлагаемая продукция дифференцированна, хотя и взаимозаменяема.</w:t>
      </w:r>
    </w:p>
    <w:p w:rsidR="003E2E54" w:rsidRPr="001E2CA1" w:rsidRDefault="003E2E54" w:rsidP="001E2CA1">
      <w:pPr>
        <w:pStyle w:val="ad"/>
      </w:pPr>
      <w:r w:rsidRPr="001E2CA1">
        <w:t>Следует также отметить, что моноп</w:t>
      </w:r>
      <w:r w:rsidR="00F57006" w:rsidRPr="001E2CA1">
        <w:t>олистическая конкуренция не воз</w:t>
      </w:r>
      <w:r w:rsidRPr="001E2CA1">
        <w:t>двигает высоких барьеров для вступления в отрасль. Поскольку фирмы производят дифференцированные това</w:t>
      </w:r>
      <w:r w:rsidR="00F57006" w:rsidRPr="001E2CA1">
        <w:t>ры, эффект масштаба не имеет су</w:t>
      </w:r>
      <w:r w:rsidRPr="001E2CA1">
        <w:t>щественного значения, и для начала дела не нужен большой капитал.</w:t>
      </w:r>
    </w:p>
    <w:p w:rsidR="003E2E54" w:rsidRPr="001E2CA1" w:rsidRDefault="003E2E54" w:rsidP="001E2CA1">
      <w:pPr>
        <w:pStyle w:val="ad"/>
      </w:pPr>
      <w:r w:rsidRPr="001E2CA1">
        <w:t>В условиях монополистической конкуренции новые фирмы появляются до тех пор, пока из производства извлекается прибыль. Появление на рынке новых фирм снижает спрос и предельный доход. Следовательно, принцип максимизации прибыли регулирует действия фирм не только в области производства и ценообразования, но и в сфере приложения капитала в национальной экономике.</w:t>
      </w:r>
    </w:p>
    <w:p w:rsidR="003E2E54" w:rsidRPr="001E2CA1" w:rsidRDefault="003E2E54" w:rsidP="001E2CA1">
      <w:pPr>
        <w:pStyle w:val="ad"/>
      </w:pPr>
      <w:r w:rsidRPr="001E2CA1">
        <w:t>В краткосрочном периоде фирма будет максимизировать прибыль и минимизировать убытки при производстве такого объема продукции, при котором предельный доход равен предельным издержкам. Вследствие высоких издержек или малого спроса фирма может нести убытки. Долгосрочное равновесие достигается в случае, если цена покрывает издержки производств</w:t>
      </w:r>
      <w:r w:rsidR="00F57006" w:rsidRPr="001E2CA1">
        <w:t>а на единицу продукции. Следова</w:t>
      </w:r>
      <w:r w:rsidRPr="001E2CA1">
        <w:t>тельно, при монополистической конкуренции не достигается ни эффект использования ресурсов (цена больше предельных издержек), ни производственная эффективность (цена больше минимальных средних издержек).</w:t>
      </w:r>
    </w:p>
    <w:p w:rsidR="003E2E54" w:rsidRPr="001E2CA1" w:rsidRDefault="003E2E54" w:rsidP="001E2CA1">
      <w:pPr>
        <w:pStyle w:val="ad"/>
      </w:pPr>
      <w:r w:rsidRPr="001E2CA1">
        <w:t>Объем производства и цена в условиях монополистической конкуренции находятся под влиянием, с одной стороны, конкуренции на рынке, а с другой — степени монопольной власти, которой обладает каждая фирма.</w:t>
      </w:r>
    </w:p>
    <w:p w:rsidR="003E2E54" w:rsidRPr="001E2CA1" w:rsidRDefault="003E2E54" w:rsidP="001E2CA1">
      <w:pPr>
        <w:pStyle w:val="ad"/>
      </w:pPr>
      <w:r w:rsidRPr="001E2CA1">
        <w:t>Монопольная власть предполагает, что для каждой фирмы кривая спроса имеет отрицательный наклон, несмотря на то</w:t>
      </w:r>
      <w:r w:rsidR="00F57006" w:rsidRPr="001E2CA1">
        <w:t>,</w:t>
      </w:r>
      <w:r w:rsidRPr="001E2CA1">
        <w:t xml:space="preserve"> что фирма может быть столь же маленькой, как и в условиях совершенной конкуренции. Однако угол наклона кривой меньше, чем у абсолютно монопольной фирмы. Он зависит как от числа конкурентов, так и от степени дифференциации товара. Чем меньше конкурентов и чем сильнее дифференцирован товар, </w:t>
      </w:r>
      <w:r w:rsidR="00F57006" w:rsidRPr="001E2CA1">
        <w:t>т</w:t>
      </w:r>
      <w:r w:rsidRPr="001E2CA1">
        <w:t>ем менее эластичной будет кривая спроса, и наоборот</w:t>
      </w:r>
      <w:r w:rsidR="007F5C1E" w:rsidRPr="001E2CA1">
        <w:footnoteReference w:id="9"/>
      </w:r>
      <w:r w:rsidRPr="001E2CA1">
        <w:t>.</w:t>
      </w:r>
    </w:p>
    <w:p w:rsidR="003E2E54" w:rsidRPr="001E2CA1" w:rsidRDefault="003E2E54" w:rsidP="001E2CA1">
      <w:pPr>
        <w:pStyle w:val="ad"/>
      </w:pPr>
      <w:r w:rsidRPr="001E2CA1">
        <w:t>Отрицательный наклон кривой спроса означает, что фирма может влиять на цену. Незначительное изменение цены на продукцию какой-либо фирмы может привлечь или оттолкнуть лишь незначительное число покупателей. Но по мере дальнейшего изменения цены фирма может оказывать все большее влияние на выбор покупателей между ее продукцией и товарами конкурирующих с ней фирм.</w:t>
      </w:r>
    </w:p>
    <w:p w:rsidR="003E2E54" w:rsidRPr="001E2CA1" w:rsidRDefault="003E2E54" w:rsidP="001E2CA1">
      <w:pPr>
        <w:pStyle w:val="ad"/>
      </w:pPr>
      <w:r w:rsidRPr="001E2CA1">
        <w:t xml:space="preserve">Равновесие фирмы предполагает, что выполняется известное условие равенства предельных издержек и предельного дохода (МС = MR). В течение краткосрочного периода фирмы могут как получать прибыль, так и нести убытки. Но возможность долгосрочного получения сверхприбыли исключается, поскольку входные барьеры </w:t>
      </w:r>
      <w:r w:rsidR="00F57006" w:rsidRPr="001E2CA1">
        <w:t>в отрасль практически отсутству</w:t>
      </w:r>
      <w:r w:rsidRPr="001E2CA1">
        <w:t>ют: фирмы невелики, для организации производства требуется относительно небольшой капитал, который легко мобилизовать для выпуска не совсем идентичной, но схожей с той, которая уже имеется на рынке, продукции. В результате свободы входа и выхода из отрасли прибыли и убытки стремятся к нулю, как и в условиях совершенной конкуренции.</w:t>
      </w:r>
    </w:p>
    <w:p w:rsidR="003E2E54" w:rsidRDefault="003E2E54" w:rsidP="001E2CA1">
      <w:pPr>
        <w:pStyle w:val="ad"/>
      </w:pPr>
      <w:r w:rsidRPr="001E2CA1">
        <w:t>Долгосрочное равновесие в условиях монополистической конкуренции показано на рис. 1.</w:t>
      </w:r>
    </w:p>
    <w:p w:rsidR="00FD794A" w:rsidRPr="001E2CA1" w:rsidRDefault="00FD794A" w:rsidP="001E2CA1">
      <w:pPr>
        <w:pStyle w:val="ad"/>
      </w:pPr>
    </w:p>
    <w:p w:rsidR="003E2E54" w:rsidRPr="001E2CA1" w:rsidRDefault="003B073E" w:rsidP="001E2CA1">
      <w:pPr>
        <w:pStyle w:val="ad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3in">
            <v:imagedata r:id="rId7" o:title=""/>
          </v:shape>
        </w:pict>
      </w:r>
    </w:p>
    <w:p w:rsidR="003E2E54" w:rsidRPr="001E2CA1" w:rsidRDefault="00F72E35" w:rsidP="001E2CA1">
      <w:pPr>
        <w:pStyle w:val="ad"/>
      </w:pPr>
      <w:r w:rsidRPr="001E2CA1">
        <w:t>Рис. 1 Монополистическая конкуренция</w:t>
      </w:r>
      <w:r w:rsidRPr="001E2CA1">
        <w:footnoteReference w:id="10"/>
      </w:r>
    </w:p>
    <w:p w:rsidR="00F72E35" w:rsidRPr="001E2CA1" w:rsidRDefault="00F72E35" w:rsidP="001E2CA1">
      <w:pPr>
        <w:pStyle w:val="ad"/>
      </w:pPr>
    </w:p>
    <w:p w:rsidR="003E2E54" w:rsidRPr="001E2CA1" w:rsidRDefault="003E2E54" w:rsidP="001E2CA1">
      <w:pPr>
        <w:pStyle w:val="ad"/>
      </w:pPr>
      <w:r w:rsidRPr="001E2CA1">
        <w:t>Если предположить, что все фирмы имеют одинаковые средние издержки, представленные на кривой АС, то продавец, кривая спроса которого (</w:t>
      </w:r>
      <w:r w:rsidR="00F57006" w:rsidRPr="001E2CA1">
        <w:t>Dm</w:t>
      </w:r>
      <w:r w:rsidRPr="001E2CA1">
        <w:t>) находится выше кривой средних издержек, будет получать сверхприбыль. Это будет привлекать на рынок новых конкурентов, в результате чего кривая спроса D'm будет сдвигаться влево до тех пор, пока</w:t>
      </w:r>
      <w:r w:rsidR="00F57006" w:rsidRPr="001E2CA1">
        <w:t xml:space="preserve"> </w:t>
      </w:r>
      <w:r w:rsidRPr="001E2CA1">
        <w:t>не исчезнет положительная прибыль. Это будет достигнуто тогда, когда кривая спроса примет положение касательной к кривой средних издержек (точка А). В этой точке цена (Рт) равна средним издержкам, а прибыль — нулю.</w:t>
      </w:r>
    </w:p>
    <w:p w:rsidR="003E2E54" w:rsidRPr="001E2CA1" w:rsidRDefault="003E2E54" w:rsidP="001E2CA1">
      <w:pPr>
        <w:pStyle w:val="ad"/>
      </w:pPr>
      <w:r w:rsidRPr="001E2CA1">
        <w:t>Издержки монополистической конкуренции. Несмотря на то что в точке А прибыли фирмы равны нулю, эта точка не соответствует эффективному использованию ресурсов, поскольку нет равенства цены предельным издержкам, которое достигается в условиях совершенной конкуренции (точка В). Как показано на графике, производство при монополистической конкуренции осуществляется на наклоненном вниз участке кривой АС. Это означает, что фирма в условиях монополистической конкуренции производит желаемый объем продукции (Qm) с издержками, превышающими минимальные. Поэтому, как подчеркивал Э. Чемберлин, фирма при монополистической конкуренции всегда будет менее эффективна, чем при совершенной конкуренции, поскольку она имеет избыточные мощности.</w:t>
      </w:r>
    </w:p>
    <w:p w:rsidR="003E2E54" w:rsidRPr="001E2CA1" w:rsidRDefault="003E2E54" w:rsidP="001E2CA1">
      <w:pPr>
        <w:pStyle w:val="ad"/>
      </w:pPr>
      <w:r w:rsidRPr="001E2CA1">
        <w:t>Эти избыточные мощности и являются платой за монопольную власть, полученную фирмой на основе дифференциации товара. Как уже отмечалось, чем более дифференцирован товар, тем выше угол наклона кривой спроса, а значит, все дальше влево от оп</w:t>
      </w:r>
      <w:r w:rsidR="00F57006" w:rsidRPr="001E2CA1">
        <w:t>тимального размера, который возм</w:t>
      </w:r>
      <w:r w:rsidRPr="001E2CA1">
        <w:t>ожен в точке минимальных средних издержек (QL), сдвигается объем производства. С другой стороны, чем сильнее дифференциация экономических благ, тем в большей мере рынок способен удовлетворять многообразные потребности и вкусы потребителей. В таком случае есть основание утверждать, что с точки зрения общества в целом конкурентная структура обладает и некоторым преимуществом</w:t>
      </w:r>
      <w:r w:rsidR="007F5C1E" w:rsidRPr="001E2CA1">
        <w:footnoteReference w:id="11"/>
      </w:r>
      <w:r w:rsidRPr="001E2CA1">
        <w:t>.</w:t>
      </w:r>
    </w:p>
    <w:p w:rsidR="003E2E54" w:rsidRPr="001E2CA1" w:rsidRDefault="003E2E54" w:rsidP="001E2CA1">
      <w:pPr>
        <w:pStyle w:val="ad"/>
      </w:pPr>
      <w:r w:rsidRPr="001E2CA1">
        <w:t>Неэффективность рыночного механизма монополистической конкуренции связана с двумя моментами. Первый — равновесная цена на таком рынке превышает предельные издержки. Это значит, что покупатель не только покрывает издержки производства дополнительных единиц продукции, но и терпит определенные убытки. Второй момент обусловлен достижением объема производства, меньшего, чем его масштаб, обеспечивающий минимизацию средних общих издержек. В реальной ситуации это может проявляться в неполной загруженности имеющихся производственных мощностей. Такая неэффективность ухудшает материальное положение покупателей в результате установления высоких цен и сокращения предложения товаров</w:t>
      </w:r>
      <w:r w:rsidR="0047098C" w:rsidRPr="001E2CA1">
        <w:footnoteReference w:id="12"/>
      </w:r>
      <w:r w:rsidRPr="001E2CA1">
        <w:t>.</w:t>
      </w:r>
    </w:p>
    <w:p w:rsidR="003E2E54" w:rsidRPr="001E2CA1" w:rsidRDefault="003E2E54" w:rsidP="001E2CA1">
      <w:pPr>
        <w:pStyle w:val="ad"/>
      </w:pPr>
      <w:r w:rsidRPr="001E2CA1">
        <w:t>Однако отмеченное выше не свидетельствует о том, что монополистическая конкуренция нежелательна. Можно выделить следующие положительные черты монополистической конкуренции</w:t>
      </w:r>
      <w:r w:rsidR="0047098C" w:rsidRPr="001E2CA1">
        <w:footnoteReference w:id="13"/>
      </w:r>
      <w:r w:rsidRPr="001E2CA1">
        <w:t>:</w:t>
      </w:r>
    </w:p>
    <w:p w:rsidR="003E2E54" w:rsidRPr="001E2CA1" w:rsidRDefault="003E2E54" w:rsidP="001E2CA1">
      <w:pPr>
        <w:pStyle w:val="ad"/>
      </w:pPr>
      <w:r w:rsidRPr="001E2CA1">
        <w:t>дифференциация продукта в определенный момент времени;</w:t>
      </w:r>
    </w:p>
    <w:p w:rsidR="003E2E54" w:rsidRPr="001E2CA1" w:rsidRDefault="003E2E54" w:rsidP="001E2CA1">
      <w:pPr>
        <w:pStyle w:val="ad"/>
      </w:pPr>
      <w:r w:rsidRPr="001E2CA1">
        <w:t>улучшение продукта с течением времени;</w:t>
      </w:r>
    </w:p>
    <w:p w:rsidR="003E2E54" w:rsidRPr="001E2CA1" w:rsidRDefault="003E2E54" w:rsidP="001E2CA1">
      <w:pPr>
        <w:pStyle w:val="ad"/>
      </w:pPr>
      <w:r w:rsidRPr="001E2CA1">
        <w:t>незначительность монопольн</w:t>
      </w:r>
      <w:r w:rsidR="00F57006" w:rsidRPr="001E2CA1">
        <w:t>ой власти отдельных фирм, а сле</w:t>
      </w:r>
      <w:r w:rsidRPr="001E2CA1">
        <w:t>довательно, и убытков от такой власти;</w:t>
      </w:r>
    </w:p>
    <w:p w:rsidR="003E2E54" w:rsidRPr="001E2CA1" w:rsidRDefault="003E2E54" w:rsidP="001E2CA1">
      <w:pPr>
        <w:pStyle w:val="ad"/>
      </w:pPr>
      <w:r w:rsidRPr="001E2CA1">
        <w:t>возможность широкого выб</w:t>
      </w:r>
      <w:r w:rsidR="00F57006" w:rsidRPr="001E2CA1">
        <w:t>ора среди разнообразных конкури</w:t>
      </w:r>
      <w:r w:rsidRPr="001E2CA1">
        <w:t>рующих товаров и их марок.</w:t>
      </w:r>
    </w:p>
    <w:p w:rsidR="003E2E54" w:rsidRPr="001E2CA1" w:rsidRDefault="003E2E54" w:rsidP="001E2CA1">
      <w:pPr>
        <w:pStyle w:val="ad"/>
      </w:pPr>
      <w:r w:rsidRPr="001E2CA1">
        <w:t>На практике предприниматель, действующий в усло</w:t>
      </w:r>
      <w:r w:rsidR="00F57006" w:rsidRPr="001E2CA1">
        <w:t>виях моно</w:t>
      </w:r>
      <w:r w:rsidRPr="001E2CA1">
        <w:t>полистической конкуренции, стремится к такой особой комбинации цены, объема производства и стимулирующей сбыт деятельности, которая будет максимизировать его прибыль. Монополистическая конкуренция утверждается там, где эффективными могут быть и небольшие предприятия, где много возможностей изменения параметров товара (его модификации, качества, внешнего вида и т.д.).</w:t>
      </w:r>
    </w:p>
    <w:p w:rsidR="003E2E54" w:rsidRPr="001E2CA1" w:rsidRDefault="003E2E54" w:rsidP="001E2CA1">
      <w:pPr>
        <w:pStyle w:val="ad"/>
      </w:pPr>
      <w:r w:rsidRPr="001E2CA1">
        <w:t>Таким образом, монополистическая конкуренция, порождаемая дифференциацией продукции, становится сегодня наиболее распространенной и даже ведущей формой конкуренции несовершенной.</w:t>
      </w:r>
    </w:p>
    <w:p w:rsidR="00CA7423" w:rsidRPr="001E2CA1" w:rsidRDefault="00EF061D" w:rsidP="001E2CA1">
      <w:pPr>
        <w:pStyle w:val="ad"/>
      </w:pPr>
      <w:r>
        <w:br w:type="page"/>
      </w:r>
      <w:r w:rsidR="00CA7423" w:rsidRPr="001E2CA1">
        <w:t>Глава 3. Особенности рынка монополистической конкуренции на примере рынка розничной торговли</w:t>
      </w:r>
    </w:p>
    <w:p w:rsidR="00CA7423" w:rsidRPr="001E2CA1" w:rsidRDefault="00CA7423" w:rsidP="001E2CA1">
      <w:pPr>
        <w:pStyle w:val="ad"/>
      </w:pPr>
    </w:p>
    <w:p w:rsidR="001B5B3E" w:rsidRPr="001E2CA1" w:rsidRDefault="001B5B3E" w:rsidP="001E2CA1">
      <w:pPr>
        <w:pStyle w:val="ad"/>
      </w:pPr>
      <w:r w:rsidRPr="001E2CA1">
        <w:t>Во второй главе мы выделили основные черты монополистической конкуренции:</w:t>
      </w:r>
    </w:p>
    <w:p w:rsidR="00CA7423" w:rsidRPr="001E2CA1" w:rsidRDefault="00CA7423" w:rsidP="001E2CA1">
      <w:pPr>
        <w:pStyle w:val="ad"/>
      </w:pPr>
      <w:r w:rsidRPr="001E2CA1">
        <w:t>на рынке присутствует относительно большое число мелких фирм;</w:t>
      </w:r>
    </w:p>
    <w:p w:rsidR="00CA7423" w:rsidRPr="001E2CA1" w:rsidRDefault="00CA7423" w:rsidP="001E2CA1">
      <w:pPr>
        <w:pStyle w:val="ad"/>
      </w:pPr>
      <w:r w:rsidRPr="001E2CA1">
        <w:t>эти фирмы производят разнообразную продукцию, и, хотя продукт каждой фирмы в чем-то специфичен, потребитель легко может найти товары-заменители и переключить свой спрос на них;</w:t>
      </w:r>
    </w:p>
    <w:p w:rsidR="00CA7423" w:rsidRPr="001E2CA1" w:rsidRDefault="00CA7423" w:rsidP="001E2CA1">
      <w:pPr>
        <w:pStyle w:val="ad"/>
      </w:pPr>
      <w:r w:rsidRPr="001E2CA1">
        <w:t xml:space="preserve">вступление новых фирм в отрасль не </w:t>
      </w:r>
      <w:r w:rsidR="001B5B3E" w:rsidRPr="001E2CA1">
        <w:t>явля</w:t>
      </w:r>
      <w:r w:rsidRPr="001E2CA1">
        <w:t>ется сложным. Чтобы открыть новую овощную лавку, ателье, ремонтную мастерскую, не требуется значительных первоначальных капиталов. Эффект масштаба также не требует развития крупного производства.</w:t>
      </w:r>
    </w:p>
    <w:p w:rsidR="00CA7423" w:rsidRPr="001E2CA1" w:rsidRDefault="00CA7423" w:rsidP="001E2CA1">
      <w:pPr>
        <w:pStyle w:val="ad"/>
      </w:pPr>
      <w:r w:rsidRPr="001E2CA1">
        <w:t>В условиях монополистической конкуренции функционирует множество отраслей, в основном производящих товары и услуги конечного потребления. К ним, наряду с фармацевтической, парфюмерно-косметической, легкой, обувной промышленностью, относятся большинство отраслей пищевой промышленности.</w:t>
      </w:r>
    </w:p>
    <w:p w:rsidR="00CA7423" w:rsidRPr="001E2CA1" w:rsidRDefault="00CA7423" w:rsidP="001E2CA1">
      <w:pPr>
        <w:pStyle w:val="ad"/>
      </w:pPr>
      <w:r w:rsidRPr="001E2CA1">
        <w:t>Спрос на продукцию этих предприятий не является абсолютно эластичным, однако его эластичность может быть достаточно высока. Если же разница в ценах окажется существенной, то покупатель сможет найти на рынке аналоги менее известных фирм с более низкой ценой. Правда, такие аналоги могут быть найдены не по всей ассортиментной группе.</w:t>
      </w:r>
    </w:p>
    <w:p w:rsidR="00CA7423" w:rsidRPr="001E2CA1" w:rsidRDefault="00CA7423" w:rsidP="001E2CA1">
      <w:pPr>
        <w:pStyle w:val="ad"/>
      </w:pPr>
      <w:r w:rsidRPr="001E2CA1">
        <w:t>Конкуренция в данных отраслях также очень высока в связи с несложным доступом новых фирм на рынок и возможностью использования различных форм дифференциации продукта. В то же время следует отметить, что э</w:t>
      </w:r>
      <w:r w:rsidR="001B5B3E" w:rsidRPr="001E2CA1">
        <w:t>ластичность спроса в отрасли за</w:t>
      </w:r>
      <w:r w:rsidRPr="001E2CA1">
        <w:t>висит от числа конкурентов и степени дифференцированности продукта. Чем больше конкурентов и чем выше дифференцированность продукта, тем больше эластичность спроса каждой фирмы, а значит, и совершеннее конкуренция в отрасли.</w:t>
      </w:r>
    </w:p>
    <w:p w:rsidR="00CA7423" w:rsidRPr="001E2CA1" w:rsidRDefault="00CA7423" w:rsidP="001E2CA1">
      <w:pPr>
        <w:pStyle w:val="ad"/>
      </w:pPr>
      <w:r w:rsidRPr="001E2CA1">
        <w:t>На практике это означает следующее. Во-первых, каждая из фирм отрасли продает свой особый тип или вариант товара. В таком случае говорят, что рыночная продукция дифференцирована. Дифференциация предполагает, что любая фирма пытается сделать свой продукт отличным от продукции других фирм, чтобы привлечь покупателей. Чем в большей степени ей это удается, тем большей монопольной властью она обладает, тем менее эластична кривая спроса на ее продукт. При этом дифференциация продукта может принимать ряд различных форм</w:t>
      </w:r>
      <w:r w:rsidR="00305F4F" w:rsidRPr="001E2CA1">
        <w:footnoteReference w:id="14"/>
      </w:r>
      <w:r w:rsidRPr="001E2CA1">
        <w:t>.</w:t>
      </w:r>
    </w:p>
    <w:p w:rsidR="00CA7423" w:rsidRPr="001E2CA1" w:rsidRDefault="00CA7423" w:rsidP="001E2CA1">
      <w:pPr>
        <w:pStyle w:val="ad"/>
      </w:pPr>
      <w:r w:rsidRPr="001E2CA1">
        <w:t xml:space="preserve">1. Продукты могут отличаться по своим физическим или качественным параметрам. «Реальные» различия, включающие функциональные особенности, материалы, дизайн и качество работы, являются крайне важными сторонами дифференциации продукта. Персональные </w:t>
      </w:r>
      <w:r w:rsidR="001B5B3E" w:rsidRPr="001E2CA1">
        <w:t>компьютеры</w:t>
      </w:r>
      <w:r w:rsidRPr="001E2CA1">
        <w:t>, например, различаются с точки зрения мощности программно-аппаратной части, доступности для потребителя и т. д. Примером также может служить рынок безалкогольных напитков, заполненный разнообразными марками этого товара, которые немного различаются, но вполне взаимозаменяемы.</w:t>
      </w:r>
    </w:p>
    <w:p w:rsidR="00CA7423" w:rsidRPr="001E2CA1" w:rsidRDefault="00CA7423" w:rsidP="001E2CA1">
      <w:pPr>
        <w:pStyle w:val="ad"/>
      </w:pPr>
      <w:r w:rsidRPr="001E2CA1">
        <w:t>2. Услуги и условия их предоставления являются важным критерием дифференциации продукта. Один магазин может придавать особое значение качеству обслуживания покупателей. Его работники упакуют покупки и отнесут их к машине покупателя. Конкурент в лице большого розничного магазина может продавать товары по более низким ценам, но зато предоставлять покупателям самим упаковывать и переносить свои покупки. Обходительность сотрудников магазина, репутация фирмы в части обслуживания покупателей и обмена ее продуктов, наличие кредита являются аспектами дифференциации продукта, связанными с услугами.</w:t>
      </w:r>
    </w:p>
    <w:p w:rsidR="00CA7423" w:rsidRPr="001E2CA1" w:rsidRDefault="00CA7423" w:rsidP="001E2CA1">
      <w:pPr>
        <w:pStyle w:val="ad"/>
      </w:pPr>
      <w:r w:rsidRPr="001E2CA1">
        <w:t>3. Продукты также могут быть дифференцированы на основе размещения и доступности. Небольшие продовольственные магазины и киоски успешно конкурируют с крупными супермаркетами, несмотря на то что ассортимент продуктов в последних намного шире. Владельцы небольших продовольственных магазинов и киосков располагают их вблизи от покупателей, в наиболее оживленных местах. Нередко такие торговые точки открыты 24 часа в сутки.</w:t>
      </w:r>
    </w:p>
    <w:p w:rsidR="00CA7423" w:rsidRPr="001E2CA1" w:rsidRDefault="00CA7423" w:rsidP="001E2CA1">
      <w:pPr>
        <w:pStyle w:val="ad"/>
      </w:pPr>
      <w:r w:rsidRPr="001E2CA1">
        <w:t>4. Диффере</w:t>
      </w:r>
      <w:r w:rsidR="001B5B3E" w:rsidRPr="001E2CA1">
        <w:t>нциация может являться и резуль</w:t>
      </w:r>
      <w:r w:rsidRPr="001E2CA1">
        <w:t>татом мн</w:t>
      </w:r>
      <w:r w:rsidR="001B5B3E" w:rsidRPr="001E2CA1">
        <w:t>имых различий, созданных с помо</w:t>
      </w:r>
      <w:r w:rsidRPr="001E2CA1">
        <w:t>щью рекламы, упаковки и использования торговых знаков и торговых марок. Например, когда та или иная марка продукции связывается с именем какой-либо знаменитости. Классический пример дифференциации продукта — аспирин. Все его виды не отличаются друг от друга по химическому составу, но цена аспирина весьма различна. Аспирин фирмы «Байер АГ» продается в несколько раз дороже, чем менее известных производителей, в значительной мере благодаря рекламе: компания «Байер» сумела убедить потребителей, что ее аспирин самый эффективный.</w:t>
      </w:r>
    </w:p>
    <w:p w:rsidR="00CA7423" w:rsidRPr="001E2CA1" w:rsidRDefault="00CA7423" w:rsidP="001E2CA1">
      <w:pPr>
        <w:pStyle w:val="ad"/>
      </w:pPr>
      <w:r w:rsidRPr="001E2CA1">
        <w:t>Таким образом, на сегодняшний день на рынке монополистической конкуренции важно не столько количество продавцов, сколько дифференциация продукта: наделение продукта конкурентными преимуществами, грамотное позиционирование, реклама.</w:t>
      </w:r>
    </w:p>
    <w:p w:rsidR="00CA7423" w:rsidRPr="001E2CA1" w:rsidRDefault="00CA7423" w:rsidP="001E2CA1">
      <w:pPr>
        <w:pStyle w:val="ad"/>
      </w:pPr>
      <w:r w:rsidRPr="001E2CA1">
        <w:t>Следует отметить, что в отраслях, где присутствует моноп</w:t>
      </w:r>
      <w:r w:rsidR="001B5B3E" w:rsidRPr="001E2CA1">
        <w:t>олистическая конкуренция, стрем</w:t>
      </w:r>
      <w:r w:rsidRPr="001E2CA1">
        <w:t>ление к безубыточности является общей тенденцией. В реальности многие предприятия могут получать экономическую прибыль в течение достаточно длительного периода, например, потому, что некоторые продукты конкурентам трудно воспроизвести, либо благодаря наличию патента, дающего долговременное преимущество перед конкурентами, а также высокой степени дифференциации продукта и его совершенствованию на основе специализации и комбинирования производства.</w:t>
      </w:r>
    </w:p>
    <w:p w:rsidR="00CA7423" w:rsidRPr="001E2CA1" w:rsidRDefault="00CA7423" w:rsidP="001E2CA1">
      <w:pPr>
        <w:pStyle w:val="ad"/>
      </w:pPr>
      <w:r w:rsidRPr="001E2CA1">
        <w:t>Эффективность функционирования отрасли монополистической конкуренции многие российские исследователи оценивают с позиции экономической эффективности.</w:t>
      </w:r>
    </w:p>
    <w:p w:rsidR="00CA7423" w:rsidRPr="001E2CA1" w:rsidRDefault="00CA7423" w:rsidP="001E2CA1">
      <w:pPr>
        <w:pStyle w:val="ad"/>
      </w:pPr>
      <w:r w:rsidRPr="001E2CA1">
        <w:t>Как известно, экономическая эффективность требует тройного равенства — цены, предельных издержек и средних издержек. Равенство цены и предельных издержек необходимо для оптимального использования ресурсов. Равенство цены и ми</w:t>
      </w:r>
      <w:r w:rsidR="001B5B3E" w:rsidRPr="001E2CA1">
        <w:t>нимальных средних валовых издер</w:t>
      </w:r>
      <w:r w:rsidRPr="001E2CA1">
        <w:t>жек предполагает высокую производственную эффективность, использование наиболее эффективной или наименее затратной технологии. Данное равенство означает, что потребители получат наибольший объем продукции по самой низкой цене, какую будут допускать существующие издержки.</w:t>
      </w:r>
    </w:p>
    <w:p w:rsidR="00CA7423" w:rsidRPr="001E2CA1" w:rsidRDefault="00CA7423" w:rsidP="001E2CA1">
      <w:pPr>
        <w:pStyle w:val="ad"/>
      </w:pPr>
      <w:r w:rsidRPr="001E2CA1">
        <w:t>В отрасли монополистической конкуренции по большей ч</w:t>
      </w:r>
      <w:r w:rsidR="001B5B3E" w:rsidRPr="001E2CA1">
        <w:t>асти не достигаются ни оптималь</w:t>
      </w:r>
      <w:r w:rsidRPr="001E2CA1">
        <w:t>ное использование ресурсов, ни производственная эффективность. Поскольку цена превышает предельные издержки и минимальные средние валовые издержки, то ресурсы недоиспользованы и потребитель не получает продукт по наименьшей цене. В результате возникают недогрузка мощностей и превышающие конкурентный уровень цены, которые являются издержками монополистической конкуренции. «Жертвами» этих издержек в конечном итоге становятся потребители продукции</w:t>
      </w:r>
      <w:r w:rsidR="00305F4F" w:rsidRPr="001E2CA1">
        <w:footnoteReference w:id="15"/>
      </w:r>
      <w:r w:rsidRPr="001E2CA1">
        <w:t>.</w:t>
      </w:r>
    </w:p>
    <w:p w:rsidR="00CA7423" w:rsidRPr="001E2CA1" w:rsidRDefault="00CA7423" w:rsidP="001E2CA1">
      <w:pPr>
        <w:pStyle w:val="ad"/>
      </w:pPr>
      <w:r w:rsidRPr="001E2CA1">
        <w:t>На сегодняшний день потребительский сектор — один из наибол</w:t>
      </w:r>
      <w:r w:rsidR="001B5B3E" w:rsidRPr="001E2CA1">
        <w:t>ее динамично разви</w:t>
      </w:r>
      <w:r w:rsidRPr="001E2CA1">
        <w:t>вающихся сегментов российской экономики. Основные тенденции развития сектора розничной торговли на среднесрочную перспективу можно свести</w:t>
      </w:r>
      <w:r w:rsidR="00305F4F" w:rsidRPr="001E2CA1">
        <w:footnoteReference w:id="16"/>
      </w:r>
      <w:r w:rsidRPr="001E2CA1">
        <w:t>:</w:t>
      </w:r>
    </w:p>
    <w:p w:rsidR="00CA7423" w:rsidRPr="001E2CA1" w:rsidRDefault="00B255CF" w:rsidP="001E2CA1">
      <w:pPr>
        <w:pStyle w:val="ad"/>
      </w:pPr>
      <w:r w:rsidRPr="001E2CA1">
        <w:t>1</w:t>
      </w:r>
      <w:r w:rsidR="00CA7423" w:rsidRPr="001E2CA1">
        <w:t>) региональной экспансии;</w:t>
      </w:r>
    </w:p>
    <w:p w:rsidR="00CA7423" w:rsidRPr="001E2CA1" w:rsidRDefault="00B255CF" w:rsidP="001E2CA1">
      <w:pPr>
        <w:pStyle w:val="ad"/>
      </w:pPr>
      <w:r w:rsidRPr="001E2CA1">
        <w:t>2</w:t>
      </w:r>
      <w:r w:rsidR="00CA7423" w:rsidRPr="001E2CA1">
        <w:t>) увеличению доли сектора н</w:t>
      </w:r>
      <w:r w:rsidR="001B5B3E" w:rsidRPr="001E2CA1">
        <w:t>епродоволь</w:t>
      </w:r>
      <w:r w:rsidR="00CA7423" w:rsidRPr="001E2CA1">
        <w:t>ственных товаров в структуре оборота розничной торговли;</w:t>
      </w:r>
    </w:p>
    <w:p w:rsidR="00CA7423" w:rsidRPr="001E2CA1" w:rsidRDefault="00B255CF" w:rsidP="001E2CA1">
      <w:pPr>
        <w:pStyle w:val="ad"/>
      </w:pPr>
      <w:r w:rsidRPr="001E2CA1">
        <w:t>3</w:t>
      </w:r>
      <w:r w:rsidR="00CA7423" w:rsidRPr="001E2CA1">
        <w:t>) дальнейшей консолидации рынка;</w:t>
      </w:r>
    </w:p>
    <w:p w:rsidR="00CA7423" w:rsidRPr="001E2CA1" w:rsidRDefault="00B255CF" w:rsidP="001E2CA1">
      <w:pPr>
        <w:pStyle w:val="ad"/>
      </w:pPr>
      <w:r w:rsidRPr="001E2CA1">
        <w:t>4</w:t>
      </w:r>
      <w:r w:rsidR="00CA7423" w:rsidRPr="001E2CA1">
        <w:t>) сохранению интереса международных игроков к российскому рынку розничной торговли;</w:t>
      </w:r>
    </w:p>
    <w:p w:rsidR="00CA7423" w:rsidRPr="001E2CA1" w:rsidRDefault="00B255CF" w:rsidP="001E2CA1">
      <w:pPr>
        <w:pStyle w:val="ad"/>
      </w:pPr>
      <w:r w:rsidRPr="001E2CA1">
        <w:t>5</w:t>
      </w:r>
      <w:r w:rsidR="00CA7423" w:rsidRPr="001E2CA1">
        <w:t>) увеличению доли современных форматов торговли.</w:t>
      </w:r>
    </w:p>
    <w:p w:rsidR="00CA7423" w:rsidRPr="001E2CA1" w:rsidRDefault="00CA7423" w:rsidP="001E2CA1">
      <w:pPr>
        <w:pStyle w:val="ad"/>
      </w:pPr>
      <w:r w:rsidRPr="001E2CA1">
        <w:t>Согласно международному индексу развития розничной торговли, Россия в последние годы неизменно находится в числе лидеров. Так, в 2007 году РФ заняла 2-е место в рейтинге, уступив лишь Индии (табл. 1), причем показатель «привлекательность рынка» России был лучшим в первой пятерке рейтинга.</w:t>
      </w:r>
    </w:p>
    <w:p w:rsidR="00FD794A" w:rsidRDefault="00FD794A" w:rsidP="001E2CA1">
      <w:pPr>
        <w:pStyle w:val="ad"/>
      </w:pPr>
    </w:p>
    <w:p w:rsidR="001B5B3E" w:rsidRPr="001E2CA1" w:rsidRDefault="001B5B3E" w:rsidP="001E2CA1">
      <w:pPr>
        <w:pStyle w:val="ad"/>
      </w:pPr>
      <w:r w:rsidRPr="001E2CA1">
        <w:t>Таблица 1</w:t>
      </w:r>
    </w:p>
    <w:p w:rsidR="00CA7423" w:rsidRPr="001E2CA1" w:rsidRDefault="00CA7423" w:rsidP="001E2CA1">
      <w:pPr>
        <w:pStyle w:val="ad"/>
      </w:pPr>
      <w:r w:rsidRPr="001E2CA1">
        <w:t>Рейтинг привлекательности рынков разных стран</w:t>
      </w:r>
      <w:r w:rsidR="00305F4F" w:rsidRPr="001E2CA1">
        <w:footnoteReference w:id="17"/>
      </w:r>
    </w:p>
    <w:tbl>
      <w:tblPr>
        <w:tblW w:w="87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842"/>
        <w:gridCol w:w="1134"/>
        <w:gridCol w:w="851"/>
        <w:gridCol w:w="1134"/>
        <w:gridCol w:w="809"/>
      </w:tblGrid>
      <w:tr w:rsidR="00FD794A" w:rsidRPr="001E2CA1" w:rsidTr="003E5BBF">
        <w:trPr>
          <w:trHeight w:val="2221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Страна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Регион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D794A" w:rsidRPr="001E2CA1" w:rsidRDefault="00FD794A" w:rsidP="003E5BBF">
            <w:pPr>
              <w:pStyle w:val="ae"/>
              <w:ind w:left="113" w:right="113"/>
            </w:pPr>
            <w:r w:rsidRPr="001E2CA1">
              <w:t>Страновой</w:t>
            </w:r>
            <w:r>
              <w:t xml:space="preserve"> </w:t>
            </w:r>
            <w:r w:rsidRPr="001E2CA1">
              <w:t>риск</w:t>
            </w:r>
            <w:r>
              <w:t xml:space="preserve"> </w:t>
            </w:r>
            <w:r w:rsidRPr="001E2CA1">
              <w:t>(Countr y</w:t>
            </w:r>
            <w:r>
              <w:t xml:space="preserve"> </w:t>
            </w:r>
            <w:r w:rsidRPr="001E2CA1">
              <w:t>risk)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D794A" w:rsidRPr="001E2CA1" w:rsidRDefault="00FD794A" w:rsidP="003E5BBF">
            <w:pPr>
              <w:pStyle w:val="ae"/>
              <w:ind w:left="113" w:right="113"/>
            </w:pPr>
            <w:r w:rsidRPr="001E2CA1">
              <w:t>Рыночная привлекательность (Market attractiveness)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D794A" w:rsidRPr="001E2CA1" w:rsidRDefault="00FD794A" w:rsidP="003E5BBF">
            <w:pPr>
              <w:pStyle w:val="ae"/>
              <w:ind w:left="113" w:right="113"/>
            </w:pPr>
            <w:r w:rsidRPr="001E2CA1">
              <w:t>Рыночное насыщение</w:t>
            </w:r>
            <w:r>
              <w:t xml:space="preserve"> </w:t>
            </w:r>
            <w:r w:rsidRPr="001E2CA1">
              <w:t>(Market saturation)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D794A" w:rsidRPr="001E2CA1" w:rsidRDefault="00FD794A" w:rsidP="003E5BBF">
            <w:pPr>
              <w:pStyle w:val="ae"/>
              <w:ind w:left="113" w:right="113"/>
            </w:pPr>
            <w:r w:rsidRPr="001E2CA1">
              <w:t>Временной лимит для входа на рынок (Time pressure)</w:t>
            </w:r>
          </w:p>
        </w:tc>
        <w:tc>
          <w:tcPr>
            <w:tcW w:w="8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D794A" w:rsidRPr="001E2CA1" w:rsidRDefault="00FD794A" w:rsidP="003E5BBF">
            <w:pPr>
              <w:pStyle w:val="ae"/>
              <w:ind w:left="113" w:right="113"/>
            </w:pPr>
            <w:r w:rsidRPr="001E2CA1">
              <w:t>Общее количество баллов (GRDI score)</w:t>
            </w:r>
          </w:p>
        </w:tc>
      </w:tr>
      <w:tr w:rsidR="00FD794A" w:rsidRPr="001E2CA1" w:rsidTr="003E5BBF">
        <w:trPr>
          <w:trHeight w:val="328"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25 %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25 %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30 %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  <w:r w:rsidRPr="001E2CA1">
              <w:t>20 %</w:t>
            </w:r>
          </w:p>
        </w:tc>
        <w:tc>
          <w:tcPr>
            <w:tcW w:w="8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4A" w:rsidRPr="001E2CA1" w:rsidRDefault="00FD794A" w:rsidP="00FD794A">
            <w:pPr>
              <w:pStyle w:val="ae"/>
            </w:pP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Индия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Азия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76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100</w:t>
            </w:r>
          </w:p>
        </w:tc>
      </w:tr>
      <w:tr w:rsidR="001B5B3E" w:rsidRPr="001E2CA1" w:rsidTr="003E5BBF">
        <w:trPr>
          <w:trHeight w:val="365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Восточная Европа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90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85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Вьетнам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Азия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81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84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Восточная Европа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81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83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Китай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Азия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86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82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Чили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Америка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48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71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Латвия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Восточная Европа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88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69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Словения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Восточная Европа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70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68</w:t>
            </w:r>
          </w:p>
        </w:tc>
      </w:tr>
      <w:tr w:rsidR="001B5B3E" w:rsidRPr="001E2CA1" w:rsidTr="003E5BBF">
        <w:trPr>
          <w:trHeight w:val="304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Ховартия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Восточная Европа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91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67</w:t>
            </w:r>
          </w:p>
        </w:tc>
      </w:tr>
      <w:tr w:rsidR="001B5B3E" w:rsidRPr="001E2CA1" w:rsidTr="003E5BBF">
        <w:trPr>
          <w:trHeight w:val="31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Турция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Средиземноморье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40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B3E" w:rsidRPr="001E2CA1" w:rsidRDefault="001B5B3E" w:rsidP="00FD794A">
            <w:pPr>
              <w:pStyle w:val="ae"/>
            </w:pPr>
            <w:r w:rsidRPr="001E2CA1">
              <w:t>66</w:t>
            </w:r>
          </w:p>
        </w:tc>
      </w:tr>
    </w:tbl>
    <w:p w:rsidR="003E2E54" w:rsidRPr="001E2CA1" w:rsidRDefault="003E2E54" w:rsidP="001E2CA1">
      <w:pPr>
        <w:pStyle w:val="ad"/>
      </w:pPr>
    </w:p>
    <w:p w:rsidR="001E2CA1" w:rsidRPr="001E2CA1" w:rsidRDefault="00CA7423" w:rsidP="001E2CA1">
      <w:pPr>
        <w:pStyle w:val="ad"/>
      </w:pPr>
      <w:r w:rsidRPr="001E2CA1">
        <w:t xml:space="preserve">За последние 7 лет оборот розничной торговли в нашей стране увеличился до </w:t>
      </w:r>
      <w:r w:rsidR="001B5B3E" w:rsidRPr="001E2CA1">
        <w:t>1</w:t>
      </w:r>
      <w:r w:rsidRPr="001E2CA1">
        <w:t>3</w:t>
      </w:r>
      <w:r w:rsidR="001B5B3E" w:rsidRPr="001E2CA1">
        <w:t>919,5</w:t>
      </w:r>
      <w:r w:rsidRPr="001E2CA1">
        <w:t xml:space="preserve"> мл</w:t>
      </w:r>
      <w:r w:rsidR="001B5B3E" w:rsidRPr="001E2CA1">
        <w:t>н</w:t>
      </w:r>
      <w:r w:rsidRPr="001E2CA1">
        <w:t xml:space="preserve"> </w:t>
      </w:r>
      <w:r w:rsidR="001B5B3E" w:rsidRPr="001E2CA1">
        <w:t>руб.</w:t>
      </w:r>
      <w:r w:rsidRPr="001E2CA1">
        <w:t xml:space="preserve"> (по состоянию на 200</w:t>
      </w:r>
      <w:r w:rsidR="001B5B3E" w:rsidRPr="001E2CA1">
        <w:t>8</w:t>
      </w:r>
      <w:r w:rsidRPr="001E2CA1">
        <w:t xml:space="preserve"> год), средний годовой темп роста составил 25 % (СAGR 2000–200</w:t>
      </w:r>
      <w:r w:rsidR="001B5B3E" w:rsidRPr="001E2CA1">
        <w:t>8</w:t>
      </w:r>
      <w:r w:rsidRPr="001E2CA1">
        <w:t xml:space="preserve"> = 25 %). Прогнозируется его снижение до 11 %. В результате розничные продажи в 2015 году достигнут показателя 915,48 млрд долларов, что превысит уровень 200</w:t>
      </w:r>
      <w:r w:rsidR="001B5B3E" w:rsidRPr="001E2CA1">
        <w:t>8</w:t>
      </w:r>
      <w:r w:rsidRPr="001E2CA1">
        <w:t xml:space="preserve"> года почти в 3 раза.</w:t>
      </w:r>
    </w:p>
    <w:p w:rsidR="00CA7423" w:rsidRPr="001E2CA1" w:rsidRDefault="00CA7423" w:rsidP="001E2CA1">
      <w:pPr>
        <w:pStyle w:val="ad"/>
      </w:pPr>
      <w:r w:rsidRPr="001E2CA1">
        <w:t>Региональная структура российского потребительского сектора асимметрична — наиболее развита в Центральном регионе и Москве, где выше показатели плотности населения и реальных доходов граждан, чем в целом по стране. Вклад Центрального округа в общие розничные продажи составляет 3</w:t>
      </w:r>
      <w:r w:rsidR="002D25EF" w:rsidRPr="001E2CA1">
        <w:t>3</w:t>
      </w:r>
      <w:r w:rsidRPr="001E2CA1">
        <w:t xml:space="preserve"> %</w:t>
      </w:r>
      <w:r w:rsidR="001B5B3E" w:rsidRPr="001E2CA1">
        <w:t xml:space="preserve"> (см.таблицу </w:t>
      </w:r>
      <w:r w:rsidR="002D25EF" w:rsidRPr="001E2CA1">
        <w:t>в приложении 1</w:t>
      </w:r>
      <w:r w:rsidR="001B5B3E" w:rsidRPr="001E2CA1">
        <w:t>)</w:t>
      </w:r>
      <w:r w:rsidRPr="001E2CA1">
        <w:t>. Однако в последние годы наблюдается тенденция снижения доли Центральног</w:t>
      </w:r>
      <w:r w:rsidR="001B5B3E" w:rsidRPr="001E2CA1">
        <w:t>о округа в общем обороте рознич</w:t>
      </w:r>
      <w:r w:rsidRPr="001E2CA1">
        <w:t>ной торговли. Российский ритейл вошел в стадию активной региональной экспансии, что выглядит совершенно естественно, так как, во-первых, темпы роста доходов в регионах опережают темпы роста в Москве, а, во-вторых, для удержания доли рынка сетевым ритейлерам требуется постоянно расширять торговые площади и, наконец, в регионах пока уровень конкуренции не очень высок.</w:t>
      </w:r>
    </w:p>
    <w:p w:rsidR="002D25EF" w:rsidRPr="001E2CA1" w:rsidRDefault="002D25EF" w:rsidP="001E2CA1">
      <w:pPr>
        <w:pStyle w:val="ad"/>
      </w:pPr>
      <w:r w:rsidRPr="001E2CA1">
        <w:t xml:space="preserve">К </w:t>
      </w:r>
      <w:smartTag w:uri="urn:schemas-microsoft-com:office:smarttags" w:element="metricconverter">
        <w:smartTagPr>
          <w:attr w:name="ProductID" w:val="2015 г"/>
        </w:smartTagPr>
        <w:r w:rsidRPr="001E2CA1">
          <w:t>2015 г</w:t>
        </w:r>
      </w:smartTag>
      <w:r w:rsidRPr="001E2CA1">
        <w:t>. ожидается следующая структура рынка розничной торговли, представленная на рисунке 1.</w:t>
      </w:r>
    </w:p>
    <w:p w:rsidR="001B5B3E" w:rsidRPr="001E2CA1" w:rsidRDefault="001B5B3E" w:rsidP="001E2CA1">
      <w:pPr>
        <w:pStyle w:val="ad"/>
      </w:pPr>
    </w:p>
    <w:p w:rsidR="00CA7423" w:rsidRPr="001E2CA1" w:rsidRDefault="003B073E" w:rsidP="001E2CA1">
      <w:pPr>
        <w:pStyle w:val="ad"/>
      </w:pPr>
      <w:r>
        <w:pict>
          <v:shape id="_x0000_i1026" type="#_x0000_t75" style="width:234.75pt;height:2in">
            <v:imagedata r:id="rId8" o:title=""/>
          </v:shape>
        </w:pict>
      </w:r>
    </w:p>
    <w:p w:rsidR="003E5BBF" w:rsidRPr="001E2CA1" w:rsidRDefault="00CA7423" w:rsidP="003E5BBF">
      <w:pPr>
        <w:pStyle w:val="ad"/>
      </w:pPr>
      <w:r w:rsidRPr="001E2CA1">
        <w:t>Рис. 2. Розничные продажи по регионам. Прогноз на 2015 год</w:t>
      </w:r>
      <w:r w:rsidR="00B91D79" w:rsidRPr="001E2CA1">
        <w:footnoteReference w:id="18"/>
      </w:r>
      <w:r w:rsidR="003E5BBF">
        <w:t xml:space="preserve">: 1 </w:t>
      </w:r>
      <w:r w:rsidR="003E5BBF" w:rsidRPr="001E2CA1">
        <w:t>— Центральный федеральный округ, 30 %;</w:t>
      </w:r>
      <w:r w:rsidR="003E5BBF">
        <w:t xml:space="preserve"> 2 </w:t>
      </w:r>
      <w:r w:rsidR="003E5BBF" w:rsidRPr="001E2CA1">
        <w:t>— Северо-Западный федеральный округ, 10 %;</w:t>
      </w:r>
      <w:r w:rsidR="003E5BBF">
        <w:t xml:space="preserve"> 3 </w:t>
      </w:r>
      <w:r w:rsidR="003E5BBF" w:rsidRPr="001E2CA1">
        <w:t>— Южный федеральный округ, 13 %;</w:t>
      </w:r>
      <w:r w:rsidR="003E5BBF">
        <w:t xml:space="preserve">4 </w:t>
      </w:r>
      <w:r w:rsidR="003E5BBF" w:rsidRPr="001E2CA1">
        <w:t>— Приволжский федеральный округ, 18 %;</w:t>
      </w:r>
      <w:r w:rsidR="003E5BBF">
        <w:t xml:space="preserve"> 5 </w:t>
      </w:r>
      <w:r w:rsidR="003E5BBF" w:rsidRPr="001E2CA1">
        <w:t>— Уральский федеральный округ, 11 %;</w:t>
      </w:r>
      <w:r w:rsidR="003E5BBF">
        <w:t xml:space="preserve"> 6 </w:t>
      </w:r>
      <w:r w:rsidR="003E5BBF" w:rsidRPr="001E2CA1">
        <w:t>— Сибирский федеральный округ, 13 %;</w:t>
      </w:r>
      <w:r w:rsidR="003E5BBF">
        <w:t xml:space="preserve"> 7 </w:t>
      </w:r>
      <w:r w:rsidR="003E5BBF" w:rsidRPr="001E2CA1">
        <w:t>— Дальневосточный федеральный округ, 5 %</w:t>
      </w:r>
    </w:p>
    <w:p w:rsidR="00CA7423" w:rsidRPr="001E2CA1" w:rsidRDefault="00EF061D" w:rsidP="001E2CA1">
      <w:pPr>
        <w:pStyle w:val="ad"/>
      </w:pPr>
      <w:r>
        <w:br w:type="page"/>
      </w:r>
      <w:r w:rsidR="00CA7423" w:rsidRPr="001E2CA1">
        <w:t>Ожидается, что в 2007–2015 годах розничные продажи в регионах будут расти опережающими темпами. Так, уже в 200</w:t>
      </w:r>
      <w:r w:rsidR="002D25EF" w:rsidRPr="001E2CA1">
        <w:t>8</w:t>
      </w:r>
      <w:r w:rsidR="00CA7423" w:rsidRPr="001E2CA1">
        <w:t xml:space="preserve"> году наибольшие темпы роста розничной торговли можно отметить в Уральском, Центральном (исключая Москву) и Приволжском федеральных округах.</w:t>
      </w:r>
    </w:p>
    <w:p w:rsidR="00CA7423" w:rsidRPr="001E2CA1" w:rsidRDefault="00CA7423" w:rsidP="001E2CA1">
      <w:pPr>
        <w:pStyle w:val="ad"/>
      </w:pPr>
      <w:r w:rsidRPr="001E2CA1">
        <w:t>В настоящее время в России представлены все форматы современной торговли: гипермаркеты, супермаркеты, магазины у дома (convenience store) и дискаунтеры (мягкие/жесткие). В России темпы роста современных форматов торговли существенно выше, чем в странах Восточной Европы. Однако число торговых точек современного формата в расчете на миллион жителей значительно меньше. Так, по данным ACNielsen, в 200</w:t>
      </w:r>
      <w:r w:rsidR="002D25EF" w:rsidRPr="001E2CA1">
        <w:t>8</w:t>
      </w:r>
      <w:r w:rsidRPr="001E2CA1">
        <w:t xml:space="preserve"> году количество торговых точек современного формата в Чехии составляло 1320 (то есть 129 торговых точек на 1 млн жителей), в Хорватии — 377 (86 точек на 1 млн), в Польше — 3109 (80), в Словакии — 368 (68), а в России — 2716 (что соответствует 19 магазинам на 1 млн населения). Поэтому потенциал развития организованной торговли достаточно высок.</w:t>
      </w:r>
    </w:p>
    <w:p w:rsidR="00CA7423" w:rsidRPr="001E2CA1" w:rsidRDefault="00CA7423" w:rsidP="001E2CA1">
      <w:pPr>
        <w:pStyle w:val="ad"/>
      </w:pPr>
      <w:r w:rsidRPr="001E2CA1">
        <w:t>Характеристика магазинов современного формата представлена в табл. 2.</w:t>
      </w:r>
    </w:p>
    <w:p w:rsidR="00CA7423" w:rsidRPr="001E2CA1" w:rsidRDefault="00CA7423" w:rsidP="001E2CA1">
      <w:pPr>
        <w:pStyle w:val="ad"/>
      </w:pPr>
    </w:p>
    <w:p w:rsidR="002D25EF" w:rsidRPr="001E2CA1" w:rsidRDefault="002D25EF" w:rsidP="001E2CA1">
      <w:pPr>
        <w:pStyle w:val="ad"/>
      </w:pPr>
      <w:r w:rsidRPr="001E2CA1">
        <w:t>Таблица 2</w:t>
      </w:r>
    </w:p>
    <w:p w:rsidR="00CA7423" w:rsidRPr="001E2CA1" w:rsidRDefault="00CA7423" w:rsidP="001E2CA1">
      <w:pPr>
        <w:pStyle w:val="ad"/>
      </w:pPr>
      <w:r w:rsidRPr="001E2CA1">
        <w:t>Основные параметры магазинов современного формата</w:t>
      </w:r>
      <w:r w:rsidR="00B91D79" w:rsidRPr="001E2CA1">
        <w:footnoteReference w:id="19"/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7"/>
        <w:gridCol w:w="1413"/>
        <w:gridCol w:w="1779"/>
        <w:gridCol w:w="1779"/>
        <w:gridCol w:w="1503"/>
      </w:tblGrid>
      <w:tr w:rsidR="00CA7423" w:rsidRPr="003E5BBF" w:rsidTr="003E5BBF">
        <w:trPr>
          <w:trHeight w:val="307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Параметр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Дискаунтер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Магазин у дома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Супермаркет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Гипермаркет</w:t>
            </w:r>
          </w:p>
        </w:tc>
      </w:tr>
      <w:tr w:rsidR="00CA7423" w:rsidRPr="003E5BBF" w:rsidTr="003E5BBF">
        <w:trPr>
          <w:trHeight w:val="565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Целевая аудитория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низкий достаток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средний остаток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средний/высокий достаток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широкий круг</w:t>
            </w:r>
          </w:p>
        </w:tc>
      </w:tr>
      <w:tr w:rsidR="00CA7423" w:rsidRPr="003E5BBF" w:rsidTr="003E5BBF">
        <w:trPr>
          <w:trHeight w:val="331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Средняя площадь, кв. м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300–1000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700–1200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1000–4000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5000–18 000</w:t>
            </w:r>
          </w:p>
        </w:tc>
      </w:tr>
      <w:tr w:rsidR="00CA7423" w:rsidRPr="003E5BBF" w:rsidTr="003E5BBF">
        <w:trPr>
          <w:trHeight w:val="327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Ассортимент, SCUs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2000–4000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до 5000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5000–20 000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15 000–60 000</w:t>
            </w:r>
          </w:p>
        </w:tc>
      </w:tr>
      <w:tr w:rsidR="00CA7423" w:rsidRPr="003E5BBF" w:rsidTr="003E5BBF">
        <w:trPr>
          <w:trHeight w:val="569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Доля непродовольственных товаров, %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10 –15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15–20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20–40</w:t>
            </w:r>
          </w:p>
        </w:tc>
      </w:tr>
      <w:tr w:rsidR="00CA7423" w:rsidRPr="003E5BBF" w:rsidTr="003E5BBF">
        <w:trPr>
          <w:trHeight w:val="335"/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Средний чек, долл.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3–7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5–8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10 –15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423" w:rsidRPr="003E5BBF" w:rsidRDefault="00CA7423" w:rsidP="003E5BBF">
            <w:pPr>
              <w:pStyle w:val="ae"/>
              <w:rPr>
                <w:szCs w:val="24"/>
              </w:rPr>
            </w:pPr>
            <w:r w:rsidRPr="003E5BBF">
              <w:rPr>
                <w:szCs w:val="24"/>
              </w:rPr>
              <w:t>&gt; 20</w:t>
            </w:r>
          </w:p>
        </w:tc>
      </w:tr>
    </w:tbl>
    <w:p w:rsidR="00CA7423" w:rsidRPr="001E2CA1" w:rsidRDefault="00CA7423" w:rsidP="001E2CA1">
      <w:pPr>
        <w:pStyle w:val="ad"/>
      </w:pPr>
    </w:p>
    <w:p w:rsidR="00C8676D" w:rsidRPr="001E2CA1" w:rsidRDefault="009B540B" w:rsidP="001E2CA1">
      <w:pPr>
        <w:pStyle w:val="ad"/>
      </w:pPr>
      <w:r w:rsidRPr="001E2CA1">
        <w:t>Таким образом, можно сделать следующие выводы:</w:t>
      </w:r>
    </w:p>
    <w:p w:rsidR="009B540B" w:rsidRPr="001E2CA1" w:rsidRDefault="009B540B" w:rsidP="001E2CA1">
      <w:pPr>
        <w:pStyle w:val="ad"/>
      </w:pPr>
      <w:r w:rsidRPr="001E2CA1">
        <w:t>монополистическая конкуренция широко представлена в российской экономике;</w:t>
      </w:r>
    </w:p>
    <w:p w:rsidR="00786BAD" w:rsidRPr="001E2CA1" w:rsidRDefault="00786BAD" w:rsidP="001E2CA1">
      <w:pPr>
        <w:pStyle w:val="ad"/>
      </w:pPr>
      <w:r w:rsidRPr="001E2CA1">
        <w:t>на сегодняшний день на рынке монополистической конкуренции важно не столько количество продавцов, сколько дифференциация продукта: наделение продукта конкурентными преимуществами, грамотное позиционирование, реклама.</w:t>
      </w:r>
    </w:p>
    <w:p w:rsidR="00786BAD" w:rsidRPr="001E2CA1" w:rsidRDefault="00786BAD" w:rsidP="001E2CA1">
      <w:pPr>
        <w:pStyle w:val="ad"/>
      </w:pPr>
      <w:r w:rsidRPr="001E2CA1">
        <w:t>в отрасли монополистической конкуренции по большей части не достигаются ни оптимальное использование ресурсов, ни производственная эффективность;</w:t>
      </w:r>
    </w:p>
    <w:p w:rsidR="00786BAD" w:rsidRPr="001E2CA1" w:rsidRDefault="00786BAD" w:rsidP="001E2CA1">
      <w:pPr>
        <w:pStyle w:val="ad"/>
      </w:pPr>
      <w:r w:rsidRPr="001E2CA1">
        <w:t>мы рассмотрели рынок розничной торговли, который является наиболее ярким представителем монополистической конкуренции. Можно сказать, что рынок насыщен</w:t>
      </w:r>
      <w:r w:rsidR="00B255CF" w:rsidRPr="001E2CA1">
        <w:t>,</w:t>
      </w:r>
      <w:r w:rsidRPr="001E2CA1">
        <w:t xml:space="preserve"> но имеет потенциал роста.</w:t>
      </w:r>
    </w:p>
    <w:p w:rsidR="00B255CF" w:rsidRPr="001E2CA1" w:rsidRDefault="00B255CF" w:rsidP="001E2CA1">
      <w:pPr>
        <w:pStyle w:val="ad"/>
      </w:pPr>
    </w:p>
    <w:p w:rsidR="00C8676D" w:rsidRPr="001E2CA1" w:rsidRDefault="003E5BBF" w:rsidP="001E2CA1">
      <w:pPr>
        <w:pStyle w:val="ad"/>
      </w:pPr>
      <w:r>
        <w:br w:type="page"/>
      </w:r>
      <w:r w:rsidR="00356FB9" w:rsidRPr="001E2CA1">
        <w:t>Заключение</w:t>
      </w:r>
    </w:p>
    <w:p w:rsidR="00356FB9" w:rsidRPr="001E2CA1" w:rsidRDefault="00356FB9" w:rsidP="001E2CA1">
      <w:pPr>
        <w:pStyle w:val="ad"/>
      </w:pPr>
    </w:p>
    <w:p w:rsidR="00E92E00" w:rsidRPr="001E2CA1" w:rsidRDefault="00E92E00" w:rsidP="001E2CA1">
      <w:pPr>
        <w:pStyle w:val="ad"/>
      </w:pPr>
      <w:r w:rsidRPr="001E2CA1">
        <w:t>На основании проведенного курсового исследования можно сделать следующие выводы.</w:t>
      </w:r>
    </w:p>
    <w:p w:rsidR="00E92E00" w:rsidRPr="001E2CA1" w:rsidRDefault="00E92E00" w:rsidP="001E2CA1">
      <w:pPr>
        <w:pStyle w:val="ad"/>
      </w:pPr>
      <w:r w:rsidRPr="001E2CA1">
        <w:t>В первой главе мы рассмотрели теоретические аспекты категории «конкуренция». Во-первых, конкуренция – это соперничество между участниками рыночного хозяйства за лучшие условия производства, купли и продажи товаров. Во-вторых, существуют различные виды конкуренции. Наиболее часто встречаемая классификация – это совершенная и несовершенная конкуренция. Совершенная конкуренция – это свободное соперничество многочисленных производителей, создающих примерно одинаковые объемы идентичной продукции. Несовершенная конкуренция – это ситуация, когда на рынке присутствуют продавцы такого количества товаров, которое существенно влияет на их цену. Существуют следующие основные модели несовершенной конкуренции: монополия, монополистическая конкуренция и олигополия. В-третьих, существуют различные методы конкурентной борьбы: силовые, ценовые, неценовые.</w:t>
      </w:r>
    </w:p>
    <w:p w:rsidR="00E92E00" w:rsidRPr="001E2CA1" w:rsidRDefault="00E92E00" w:rsidP="001E2CA1">
      <w:pPr>
        <w:pStyle w:val="ad"/>
      </w:pPr>
      <w:r w:rsidRPr="001E2CA1">
        <w:t>Во второй главе мы подробнее остановились на монополистической конкуренции. Монополистическая конкуренция характерна для рынков товаров народного потребления, бытовой химии, парфюмерии, одежды и т.д. вообще, Монополистическая конкуренция – это такая рыночная ситуация, когда сравнительно большое число некрупных фирм производят и реализуют однородную, но дифференцированную продукцию</w:t>
      </w:r>
      <w:r w:rsidR="00B255CF" w:rsidRPr="001E2CA1">
        <w:t>. В условиях монополистической конкуренции получают развитие неценовые факторы соперничества: дифференциация продукта, качество продукции, реклама, послепродажное обслуживание, торговые марки. В условиях монополистической конкуренции фирмы не имеют долгосрочной прибыли, за право наличия монопольной власти они платят избыточными мощностями.</w:t>
      </w:r>
    </w:p>
    <w:p w:rsidR="001E2CA1" w:rsidRPr="001E2CA1" w:rsidRDefault="00B255CF" w:rsidP="001E2CA1">
      <w:pPr>
        <w:pStyle w:val="ad"/>
      </w:pPr>
      <w:r w:rsidRPr="001E2CA1">
        <w:t>В третьей главе, мы рассмотрели формы дифференциации товаров. Также мы провели анализ рынка розничной торговли, поскольку розничная торговля считается ярким примером монополистической конкуренции и наиболее динамично развивающимся сектором экономики.</w:t>
      </w:r>
    </w:p>
    <w:p w:rsidR="00B255CF" w:rsidRPr="001E2CA1" w:rsidRDefault="00B255CF" w:rsidP="001E2CA1">
      <w:pPr>
        <w:pStyle w:val="ad"/>
      </w:pPr>
      <w:r w:rsidRPr="001E2CA1">
        <w:t>Проведенный анализ показал, что структура рынка неравномерна распределена по окрунам. Наибольшее присутсвие фирм в Центральном округе и Москве. Однако ожидается, что в 2009–2015 годах розничные продажи в регионах будут расти опережающими темпами.</w:t>
      </w:r>
    </w:p>
    <w:p w:rsidR="00B255CF" w:rsidRPr="001E2CA1" w:rsidRDefault="00B255CF" w:rsidP="001E2CA1">
      <w:pPr>
        <w:pStyle w:val="ad"/>
      </w:pPr>
      <w:r w:rsidRPr="001E2CA1">
        <w:t>Основные тенденции развития сектора розничной торговли на среднесрочную перспективу можно свести к следующим моментам: региональной экспансии; увеличению доли сектора непродовольственных товаров в структуре оборота розничной торговли; дальнейшей консолидации рынка; сохранению интереса международных игроков к российскому рынку розничной торговли; увеличению доли современных форматов торговли.</w:t>
      </w:r>
    </w:p>
    <w:p w:rsidR="00B255CF" w:rsidRPr="001E2CA1" w:rsidRDefault="00B255CF" w:rsidP="001E2CA1">
      <w:pPr>
        <w:pStyle w:val="ad"/>
      </w:pPr>
      <w:r w:rsidRPr="001E2CA1">
        <w:t>Таким образом, можно говорить о том, что монополистическая конкуренция как альтернатива олигополиям, монополиям имеет большой потенциал. С развитием монополистической конкуренции можно ожидать рост качества и конкурентоспособности продукции.</w:t>
      </w:r>
    </w:p>
    <w:p w:rsidR="00B255CF" w:rsidRPr="001E2CA1" w:rsidRDefault="00B255CF" w:rsidP="001E2CA1">
      <w:pPr>
        <w:pStyle w:val="ad"/>
      </w:pPr>
    </w:p>
    <w:p w:rsidR="00356FB9" w:rsidRPr="001E2CA1" w:rsidRDefault="003E5BBF" w:rsidP="001E2CA1">
      <w:pPr>
        <w:pStyle w:val="ad"/>
      </w:pPr>
      <w:r>
        <w:br w:type="page"/>
      </w:r>
      <w:r w:rsidR="00711344" w:rsidRPr="001E2CA1">
        <w:t>Список использованной литературы</w:t>
      </w:r>
    </w:p>
    <w:p w:rsidR="00C8676D" w:rsidRPr="001E2CA1" w:rsidRDefault="00C8676D" w:rsidP="001E2CA1">
      <w:pPr>
        <w:pStyle w:val="ad"/>
      </w:pP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Залозная Г.М. Повышение конкуренции российской экономики // Современная конкуренция. – 2008. – № 5. – С.12-16.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Ивашковский С.Н. Микроэкономика: учеб. – М.: Дело, 2002. – 416 с.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Копылов М. Конкурентная политика и конкурентная среда в РФ // Современная конкуренция. – 2009. – №5. – С.14-18.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Курс экономической теории: Учебник / М.И.Плотницкий, Э.И.Лобкович, М.Г.Муталимов. – Мн.: Интерпрессервис, 2003. – 496 с.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Курс экономичесткой теории / Под.ред.Чепурина М.Н., Киселевой Е.А. – Киров: «АСА», 2007. – 848 с.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Лукьянов С. Входные барьеры: важнейший инструмент политики ограничения конкуренции на российских рынках // Современная конкуренция. – 2009. – № 1.</w:t>
      </w:r>
    </w:p>
    <w:p w:rsidR="00305F4F" w:rsidRPr="001E2CA1" w:rsidRDefault="00305F4F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Лымарь Е.Н. Особенности рынков монополистической конкуренции в региональном аспекте // Вестник Челябинского университета. – 2009. – №2. – С.71-76.</w:t>
      </w:r>
    </w:p>
    <w:p w:rsidR="001E2CA1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Максимов С.В. На страже честной конкуренции // Современная конкуренция. – 2009. – №5. – С.70-81.</w:t>
      </w:r>
    </w:p>
    <w:p w:rsidR="00755FA3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Меркулова Ю. Особенности российского отраслевого монополизма // Общество и экономика. – 2009. – № 4/5.</w:t>
      </w:r>
    </w:p>
    <w:p w:rsidR="00755FA3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Николаева Л.А., Черная И.П.Экономическая теория: учебник. – М.: КНОРУС, 2006.</w:t>
      </w:r>
    </w:p>
    <w:p w:rsidR="00755FA3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Станковская И.К., Стрелец И.А. Экономическая теория: учебник. – М.: Эксмо, 2008. – 448 с.</w:t>
      </w:r>
    </w:p>
    <w:p w:rsidR="00755FA3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Экономическая теория: Учебник / Под общей ред. акад. В.И.Видяпина, А.И.Добрынина, Г.П.Журавлевой, Л.С.Тарасевича. – М.: ИНФРА-М, 2003. – 714 с.</w:t>
      </w:r>
    </w:p>
    <w:p w:rsidR="00C8676D" w:rsidRPr="001E2CA1" w:rsidRDefault="00755FA3" w:rsidP="003E5BBF">
      <w:pPr>
        <w:pStyle w:val="ad"/>
        <w:numPr>
          <w:ilvl w:val="0"/>
          <w:numId w:val="21"/>
        </w:numPr>
        <w:ind w:left="0" w:firstLine="0"/>
        <w:jc w:val="left"/>
      </w:pPr>
      <w:r w:rsidRPr="001E2CA1">
        <w:t>Экономическая теория: учебник / Под ред. А.Г.Грязновой, Т.В.Чечелевой. – М.: Издательство «Экзамен», 2005. – 592 с.</w:t>
      </w:r>
    </w:p>
    <w:p w:rsidR="00C8676D" w:rsidRPr="001E2CA1" w:rsidRDefault="00C8676D" w:rsidP="001E2CA1">
      <w:pPr>
        <w:pStyle w:val="ad"/>
        <w:sectPr w:rsidR="00C8676D" w:rsidRPr="001E2CA1" w:rsidSect="001E2CA1">
          <w:footerReference w:type="even" r:id="rId9"/>
          <w:footerReference w:type="default" r:id="rId10"/>
          <w:pgSz w:w="11907" w:h="16839" w:code="9"/>
          <w:pgMar w:top="1134" w:right="850" w:bottom="1134" w:left="1701" w:header="709" w:footer="709" w:gutter="0"/>
          <w:pgNumType w:start="2"/>
          <w:cols w:space="708"/>
          <w:titlePg/>
          <w:docGrid w:linePitch="360"/>
        </w:sectPr>
      </w:pPr>
    </w:p>
    <w:p w:rsidR="00C8676D" w:rsidRPr="001E2CA1" w:rsidRDefault="00C8676D" w:rsidP="001E2CA1">
      <w:pPr>
        <w:pStyle w:val="ad"/>
      </w:pPr>
      <w:r w:rsidRPr="001E2CA1">
        <w:t>Приложение 1</w:t>
      </w:r>
    </w:p>
    <w:p w:rsidR="00C8676D" w:rsidRDefault="00C8676D" w:rsidP="001E2CA1">
      <w:pPr>
        <w:pStyle w:val="ad"/>
      </w:pPr>
      <w:r w:rsidRPr="001E2CA1">
        <w:t xml:space="preserve">Оборот розничной торговли по федеральным </w:t>
      </w:r>
      <w:r w:rsidR="00B255CF" w:rsidRPr="001E2CA1">
        <w:t>округам</w:t>
      </w:r>
      <w:r w:rsidR="00B255CF" w:rsidRPr="001E2CA1">
        <w:footnoteReference w:id="20"/>
      </w:r>
    </w:p>
    <w:p w:rsidR="003E5BBF" w:rsidRPr="001E2CA1" w:rsidRDefault="003E5BBF" w:rsidP="001E2CA1">
      <w:pPr>
        <w:pStyle w:val="ad"/>
      </w:pPr>
    </w:p>
    <w:tbl>
      <w:tblPr>
        <w:tblW w:w="1389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93"/>
        <w:gridCol w:w="980"/>
        <w:gridCol w:w="860"/>
        <w:gridCol w:w="980"/>
        <w:gridCol w:w="860"/>
        <w:gridCol w:w="980"/>
        <w:gridCol w:w="860"/>
        <w:gridCol w:w="980"/>
        <w:gridCol w:w="860"/>
        <w:gridCol w:w="1060"/>
        <w:gridCol w:w="860"/>
        <w:gridCol w:w="1060"/>
        <w:gridCol w:w="860"/>
      </w:tblGrid>
      <w:tr w:rsidR="00A471A3" w:rsidRPr="00EA27F9" w:rsidTr="00EA27F9">
        <w:trPr>
          <w:trHeight w:val="312"/>
        </w:trPr>
        <w:tc>
          <w:tcPr>
            <w:tcW w:w="2693" w:type="dxa"/>
            <w:vMerge w:val="restart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</w:p>
        </w:tc>
        <w:tc>
          <w:tcPr>
            <w:tcW w:w="184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2003</w:t>
            </w:r>
          </w:p>
        </w:tc>
        <w:tc>
          <w:tcPr>
            <w:tcW w:w="184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2004</w:t>
            </w:r>
          </w:p>
        </w:tc>
        <w:tc>
          <w:tcPr>
            <w:tcW w:w="184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2005</w:t>
            </w:r>
          </w:p>
        </w:tc>
        <w:tc>
          <w:tcPr>
            <w:tcW w:w="184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2006</w:t>
            </w:r>
          </w:p>
        </w:tc>
        <w:tc>
          <w:tcPr>
            <w:tcW w:w="192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2007</w:t>
            </w:r>
          </w:p>
        </w:tc>
        <w:tc>
          <w:tcPr>
            <w:tcW w:w="1920" w:type="dxa"/>
            <w:gridSpan w:val="2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2008</w:t>
            </w:r>
          </w:p>
        </w:tc>
      </w:tr>
      <w:tr w:rsidR="00A471A3" w:rsidRPr="00EA27F9" w:rsidTr="00EA27F9">
        <w:trPr>
          <w:trHeight w:val="312"/>
        </w:trPr>
        <w:tc>
          <w:tcPr>
            <w:tcW w:w="2693" w:type="dxa"/>
            <w:vMerge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</w:p>
        </w:tc>
        <w:tc>
          <w:tcPr>
            <w:tcW w:w="98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  <w:tc>
          <w:tcPr>
            <w:tcW w:w="98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  <w:tc>
          <w:tcPr>
            <w:tcW w:w="98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  <w:tc>
          <w:tcPr>
            <w:tcW w:w="98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  <w:tc>
          <w:tcPr>
            <w:tcW w:w="10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  <w:tc>
          <w:tcPr>
            <w:tcW w:w="10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млн.руб.</w:t>
            </w:r>
          </w:p>
        </w:tc>
        <w:tc>
          <w:tcPr>
            <w:tcW w:w="860" w:type="dxa"/>
            <w:shd w:val="clear" w:color="auto" w:fill="auto"/>
            <w:noWrap/>
          </w:tcPr>
          <w:p w:rsidR="00A471A3" w:rsidRPr="001E2CA1" w:rsidRDefault="00A471A3" w:rsidP="003E5BBF">
            <w:pPr>
              <w:pStyle w:val="ae"/>
            </w:pPr>
            <w:r w:rsidRPr="001E2CA1">
              <w:t>в %</w:t>
            </w:r>
          </w:p>
        </w:tc>
      </w:tr>
      <w:tr w:rsidR="00C8676D" w:rsidRPr="00EA27F9" w:rsidTr="00EA27F9">
        <w:trPr>
          <w:trHeight w:val="312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РФ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4529633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5642498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7041509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8711920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10868976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13919561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1E2CA1" w:rsidP="003E5BBF">
            <w:pPr>
              <w:pStyle w:val="ae"/>
            </w:pPr>
            <w:r w:rsidRPr="001E2CA1">
              <w:t xml:space="preserve"> </w:t>
            </w:r>
          </w:p>
        </w:tc>
      </w:tr>
      <w:tr w:rsidR="00C8676D" w:rsidRPr="00EA27F9" w:rsidTr="00EA27F9">
        <w:trPr>
          <w:trHeight w:val="597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Центральный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1774813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39,18%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2166665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38,40%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2600705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36,93%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3119362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35,81%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3741955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34,43%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4646218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33,38%</w:t>
            </w:r>
          </w:p>
        </w:tc>
      </w:tr>
      <w:tr w:rsidR="00C8676D" w:rsidRPr="00EA27F9" w:rsidTr="00EA27F9">
        <w:trPr>
          <w:trHeight w:val="693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Северо-Западный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411327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9,08%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527488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9,35%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674300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9,58%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821300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9,43%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1018518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9,37%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1299384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9,33%</w:t>
            </w:r>
          </w:p>
        </w:tc>
      </w:tr>
      <w:tr w:rsidR="00C8676D" w:rsidRPr="00EA27F9" w:rsidTr="00EA27F9">
        <w:trPr>
          <w:trHeight w:val="319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Южный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486860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10,75%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628422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11,14%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810902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11,52%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1006735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11,56%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1332598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12,26%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1781036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12,80%</w:t>
            </w:r>
          </w:p>
        </w:tc>
      </w:tr>
      <w:tr w:rsidR="00C8676D" w:rsidRPr="00EA27F9" w:rsidTr="00EA27F9">
        <w:trPr>
          <w:trHeight w:val="679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Приволжский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755327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16,68%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940884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16,67%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1190814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16,91%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1516694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17,41%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1949292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17,93%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2556341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18,37%</w:t>
            </w:r>
          </w:p>
        </w:tc>
      </w:tr>
      <w:tr w:rsidR="00C8676D" w:rsidRPr="00EA27F9" w:rsidTr="00EA27F9">
        <w:trPr>
          <w:trHeight w:val="604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Уральский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381196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8,42%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493156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8,74%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656692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9,33%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866635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9,95%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1128829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10,39%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1501207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10,78%</w:t>
            </w:r>
          </w:p>
        </w:tc>
      </w:tr>
      <w:tr w:rsidR="00C8676D" w:rsidRPr="00EA27F9" w:rsidTr="00EA27F9">
        <w:trPr>
          <w:trHeight w:val="685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Сибирский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528961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11,68%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653544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11,58%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820481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11,65%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1027581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11,80%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1275824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11,74%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1611553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11,58%</w:t>
            </w:r>
          </w:p>
        </w:tc>
      </w:tr>
      <w:tr w:rsidR="00C8676D" w:rsidRPr="00EA27F9" w:rsidTr="00EA27F9">
        <w:trPr>
          <w:trHeight w:val="709"/>
        </w:trPr>
        <w:tc>
          <w:tcPr>
            <w:tcW w:w="2693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Дальневосточный федеральный округ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191149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4,22%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232340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4,12%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287616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4,08%</w:t>
            </w:r>
          </w:p>
        </w:tc>
        <w:tc>
          <w:tcPr>
            <w:tcW w:w="98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353613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4,06%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421960</w:t>
            </w:r>
          </w:p>
        </w:tc>
        <w:tc>
          <w:tcPr>
            <w:tcW w:w="8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3,88%</w:t>
            </w:r>
          </w:p>
        </w:tc>
        <w:tc>
          <w:tcPr>
            <w:tcW w:w="1060" w:type="dxa"/>
            <w:shd w:val="clear" w:color="auto" w:fill="auto"/>
          </w:tcPr>
          <w:p w:rsidR="00C8676D" w:rsidRPr="001E2CA1" w:rsidRDefault="00C8676D" w:rsidP="003E5BBF">
            <w:pPr>
              <w:pStyle w:val="ae"/>
            </w:pPr>
            <w:r w:rsidRPr="001E2CA1">
              <w:t>523823</w:t>
            </w:r>
          </w:p>
        </w:tc>
        <w:tc>
          <w:tcPr>
            <w:tcW w:w="860" w:type="dxa"/>
            <w:shd w:val="clear" w:color="auto" w:fill="auto"/>
            <w:noWrap/>
          </w:tcPr>
          <w:p w:rsidR="00C8676D" w:rsidRPr="001E2CA1" w:rsidRDefault="00C8676D" w:rsidP="003E5BBF">
            <w:pPr>
              <w:pStyle w:val="ae"/>
            </w:pPr>
            <w:r w:rsidRPr="001E2CA1">
              <w:t>3,76%</w:t>
            </w:r>
          </w:p>
        </w:tc>
      </w:tr>
    </w:tbl>
    <w:p w:rsidR="00C8676D" w:rsidRPr="001E2CA1" w:rsidRDefault="00C8676D" w:rsidP="001E2CA1">
      <w:pPr>
        <w:pStyle w:val="ad"/>
      </w:pPr>
      <w:bookmarkStart w:id="0" w:name="_GoBack"/>
      <w:bookmarkEnd w:id="0"/>
    </w:p>
    <w:sectPr w:rsidR="00C8676D" w:rsidRPr="001E2CA1" w:rsidSect="00A471A3">
      <w:footerReference w:type="default" r:id="rId11"/>
      <w:pgSz w:w="16839" w:h="11907" w:code="9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7F9" w:rsidRDefault="00EA27F9">
      <w:r>
        <w:separator/>
      </w:r>
    </w:p>
  </w:endnote>
  <w:endnote w:type="continuationSeparator" w:id="0">
    <w:p w:rsidR="00EA27F9" w:rsidRDefault="00EA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00" w:rsidRDefault="00E92E00" w:rsidP="00E8184F">
    <w:pPr>
      <w:pStyle w:val="a3"/>
      <w:framePr w:wrap="around" w:vAnchor="text" w:hAnchor="margin" w:xAlign="right" w:y="1"/>
      <w:rPr>
        <w:rStyle w:val="a5"/>
      </w:rPr>
    </w:pPr>
  </w:p>
  <w:p w:rsidR="00E92E00" w:rsidRDefault="00E92E00" w:rsidP="0025434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00" w:rsidRDefault="00E92E00" w:rsidP="0025434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5CF" w:rsidRDefault="00B255CF" w:rsidP="0025434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7F9" w:rsidRDefault="00EA27F9">
      <w:r>
        <w:separator/>
      </w:r>
    </w:p>
  </w:footnote>
  <w:footnote w:type="continuationSeparator" w:id="0">
    <w:p w:rsidR="00EA27F9" w:rsidRDefault="00EA27F9">
      <w:r>
        <w:continuationSeparator/>
      </w:r>
    </w:p>
  </w:footnote>
  <w:footnote w:id="1">
    <w:p w:rsidR="00EA27F9" w:rsidRDefault="00E92E00" w:rsidP="00FD794A">
      <w:pPr>
        <w:pStyle w:val="ae"/>
      </w:pPr>
      <w:r w:rsidRPr="00FD794A">
        <w:footnoteRef/>
      </w:r>
      <w:r w:rsidRPr="00FD794A">
        <w:t>Экономическая теория: учебник / Под ред. А.Г.Грязновой, Т.В.Чечелевой. – М.: Издательство «Экзамен», 2005. – С.132.</w:t>
      </w:r>
    </w:p>
  </w:footnote>
  <w:footnote w:id="2">
    <w:p w:rsidR="00EA27F9" w:rsidRDefault="00E92E00" w:rsidP="00FD794A">
      <w:pPr>
        <w:pStyle w:val="ae"/>
      </w:pPr>
      <w:r w:rsidRPr="00FD794A">
        <w:footnoteRef/>
      </w:r>
      <w:r w:rsidRPr="00FD794A">
        <w:t>Станковская И.К., Стрелец И.А. Экономическая теория: учебник. – М.: Эксмо, 2008. – С.216.</w:t>
      </w:r>
    </w:p>
  </w:footnote>
  <w:footnote w:id="3">
    <w:p w:rsidR="00EA27F9" w:rsidRDefault="00E92E00" w:rsidP="00FD794A">
      <w:pPr>
        <w:pStyle w:val="ae"/>
      </w:pPr>
      <w:r w:rsidRPr="00FD794A">
        <w:footnoteRef/>
      </w:r>
      <w:r w:rsidRPr="00FD794A">
        <w:t xml:space="preserve">Максимов С.В. На страже честной конкуренции // Современная конкуренция. – 2009. – №5. – С.73. </w:t>
      </w:r>
    </w:p>
  </w:footnote>
  <w:footnote w:id="4">
    <w:p w:rsidR="00EA27F9" w:rsidRDefault="00E92E00" w:rsidP="00FD794A">
      <w:pPr>
        <w:pStyle w:val="ae"/>
      </w:pPr>
      <w:r w:rsidRPr="00FD794A">
        <w:footnoteRef/>
      </w:r>
      <w:r w:rsidRPr="00FD794A">
        <w:t xml:space="preserve"> Курс экономической теории: Учебник / М.И.Плотницкий, Э.И.Лобкович, М.Г.Муталимов. – Мн.: Интерпрессервис, 2003. – С.183.</w:t>
      </w:r>
    </w:p>
  </w:footnote>
  <w:footnote w:id="5">
    <w:p w:rsidR="00EA27F9" w:rsidRDefault="00E92E00" w:rsidP="00FD794A">
      <w:pPr>
        <w:pStyle w:val="ae"/>
      </w:pPr>
      <w:r w:rsidRPr="00FD794A">
        <w:footnoteRef/>
      </w:r>
      <w:r w:rsidRPr="00FD794A">
        <w:t>Курс экономической теории / Под.ред.Чепурина М.Н., Киселевой Е.А. – Киров: «АСА», 2007. – С.283.</w:t>
      </w:r>
    </w:p>
  </w:footnote>
  <w:footnote w:id="6">
    <w:p w:rsidR="00EA27F9" w:rsidRDefault="00E92E00" w:rsidP="00FD794A">
      <w:pPr>
        <w:pStyle w:val="ae"/>
      </w:pPr>
      <w:r w:rsidRPr="00FD794A">
        <w:footnoteRef/>
      </w:r>
      <w:r w:rsidRPr="00FD794A">
        <w:t xml:space="preserve"> Курс экономической теории: Учебник / М.И.Плотницкий, Э.И.Лобкович, М.Г.Муталимов. – Мн.: Интерпрессервис, 2003. – С.191.</w:t>
      </w:r>
    </w:p>
  </w:footnote>
  <w:footnote w:id="7">
    <w:p w:rsidR="00EA27F9" w:rsidRDefault="00E92E00" w:rsidP="00FD794A">
      <w:pPr>
        <w:pStyle w:val="ae"/>
      </w:pPr>
      <w:r w:rsidRPr="00FD794A">
        <w:footnoteRef/>
      </w:r>
      <w:r w:rsidRPr="00FD794A">
        <w:t>Курс экономической теории: Учебник / М.И.Плотницкий, Э.И.Лобкович, М.Г.Муталимов. – Мн.: Интерпрессервис, 2003. – С.191.</w:t>
      </w:r>
    </w:p>
  </w:footnote>
  <w:footnote w:id="8">
    <w:p w:rsidR="00EA27F9" w:rsidRDefault="00E92E00" w:rsidP="00FD794A">
      <w:pPr>
        <w:pStyle w:val="ae"/>
      </w:pPr>
      <w:r w:rsidRPr="00FD794A">
        <w:footnoteRef/>
      </w:r>
      <w:r w:rsidRPr="00FD794A">
        <w:t>Ивашковский С.Н. Микроэкономика: учеб. – М.: Дело, 2002. – С.262.</w:t>
      </w:r>
    </w:p>
  </w:footnote>
  <w:footnote w:id="9">
    <w:p w:rsidR="00EA27F9" w:rsidRDefault="00E92E00" w:rsidP="00FD794A">
      <w:pPr>
        <w:pStyle w:val="ae"/>
      </w:pPr>
      <w:r w:rsidRPr="00FD794A">
        <w:footnoteRef/>
      </w:r>
      <w:r w:rsidRPr="00FD794A">
        <w:t>Ивашковский С.Н. Микроэкономика: учеб. – М.: Дело, 2002. – С.263.</w:t>
      </w:r>
    </w:p>
  </w:footnote>
  <w:footnote w:id="10">
    <w:p w:rsidR="00EA27F9" w:rsidRDefault="00E92E00" w:rsidP="00FD794A">
      <w:pPr>
        <w:pStyle w:val="ae"/>
      </w:pPr>
      <w:r w:rsidRPr="00FD794A">
        <w:footnoteRef/>
      </w:r>
      <w:r w:rsidRPr="00FD794A">
        <w:t>Ивашковский С.Н. Микроэкономика: учеб. – М.: Дело, 2002. – С.264.</w:t>
      </w:r>
    </w:p>
  </w:footnote>
  <w:footnote w:id="11">
    <w:p w:rsidR="00EA27F9" w:rsidRDefault="00E92E00" w:rsidP="00FD794A">
      <w:pPr>
        <w:pStyle w:val="ae"/>
      </w:pPr>
      <w:r w:rsidRPr="00FD794A">
        <w:footnoteRef/>
      </w:r>
      <w:r w:rsidRPr="00FD794A">
        <w:t>Ивашковский С.Н. Микроэкономика: учеб. – М.: Дело, 2002. – С.264.</w:t>
      </w:r>
    </w:p>
  </w:footnote>
  <w:footnote w:id="12">
    <w:p w:rsidR="00EA27F9" w:rsidRDefault="00E92E00" w:rsidP="00FD794A">
      <w:pPr>
        <w:pStyle w:val="ae"/>
      </w:pPr>
      <w:r w:rsidRPr="00FD794A">
        <w:footnoteRef/>
      </w:r>
      <w:r w:rsidRPr="00FD794A">
        <w:t>Курс экономической теории: Учебник / М.И.Плотницкий, Э.И.Лобкович, М.Г.Муталимов. – Мн.: Интерпрессервис, 2003. – С.192.</w:t>
      </w:r>
    </w:p>
  </w:footnote>
  <w:footnote w:id="13">
    <w:p w:rsidR="00EA27F9" w:rsidRDefault="00E92E00" w:rsidP="00FD794A">
      <w:pPr>
        <w:pStyle w:val="ae"/>
      </w:pPr>
      <w:r w:rsidRPr="00FD794A">
        <w:footnoteRef/>
      </w:r>
      <w:r w:rsidRPr="00FD794A">
        <w:t>Курс экономической теории: Учебник / М.И.Плотницкий, Э.И.Лобкович, М.Г.Муталимов. – Мн.: Интерпрессервис, 2003. – С.193.</w:t>
      </w:r>
    </w:p>
  </w:footnote>
  <w:footnote w:id="14">
    <w:p w:rsidR="00EA27F9" w:rsidRDefault="00E92E00" w:rsidP="00FD794A">
      <w:pPr>
        <w:pStyle w:val="ae"/>
      </w:pPr>
      <w:r w:rsidRPr="00FD794A">
        <w:footnoteRef/>
      </w:r>
      <w:r w:rsidRPr="00FD794A">
        <w:t>Копылов М. Конкурентная политика и конкурентная среда в РФ // Современная конкуренция. – 2009. – №5. – С.115-16.</w:t>
      </w:r>
    </w:p>
  </w:footnote>
  <w:footnote w:id="15">
    <w:p w:rsidR="00EA27F9" w:rsidRDefault="00E92E00" w:rsidP="00FD794A">
      <w:pPr>
        <w:pStyle w:val="ae"/>
      </w:pPr>
      <w:r w:rsidRPr="00FD794A">
        <w:footnoteRef/>
      </w:r>
      <w:r w:rsidRPr="00FD794A">
        <w:t xml:space="preserve"> Лымарь Е.Н. Особенности рынков монополистической конкуренции в региональном аспекте // Вестник Челябинского университета. – 2009. – №2. – С.72.</w:t>
      </w:r>
    </w:p>
  </w:footnote>
  <w:footnote w:id="16">
    <w:p w:rsidR="00EA27F9" w:rsidRDefault="00E92E00" w:rsidP="00FD794A">
      <w:pPr>
        <w:pStyle w:val="ae"/>
      </w:pPr>
      <w:r w:rsidRPr="00FD794A">
        <w:footnoteRef/>
      </w:r>
      <w:r w:rsidRPr="00FD794A">
        <w:t xml:space="preserve"> Лымарь Е.Н. Особенности рынков монополистической конкуренции в региональном аспекте // Вестник Челябинского университета. – 2009. – №2. – С.72.</w:t>
      </w:r>
    </w:p>
  </w:footnote>
  <w:footnote w:id="17">
    <w:p w:rsidR="00EA27F9" w:rsidRDefault="00E92E00" w:rsidP="00FD794A">
      <w:pPr>
        <w:pStyle w:val="ae"/>
      </w:pPr>
      <w:r w:rsidRPr="00FD794A">
        <w:footnoteRef/>
      </w:r>
      <w:r w:rsidRPr="00FD794A">
        <w:t>Лымарь Е.Н. Особенности рынков монополистической конкуренции в региональном аспекте // Вестник Челябинского университета. – 2009. – №2. – С.73.</w:t>
      </w:r>
    </w:p>
  </w:footnote>
  <w:footnote w:id="18">
    <w:p w:rsidR="00EA27F9" w:rsidRDefault="00E92E00" w:rsidP="00FD794A">
      <w:pPr>
        <w:pStyle w:val="ae"/>
      </w:pPr>
      <w:r w:rsidRPr="00FD794A">
        <w:footnoteRef/>
      </w:r>
      <w:r w:rsidRPr="00FD794A">
        <w:t xml:space="preserve"> Лымарь Е.Н. Особенности рынков монополистической конкуренции в региональном аспекте // Вестник Челябинского университета. – 2009. – №2. – С.74.</w:t>
      </w:r>
    </w:p>
  </w:footnote>
  <w:footnote w:id="19">
    <w:p w:rsidR="00EA27F9" w:rsidRDefault="00E92E00" w:rsidP="00FD794A">
      <w:pPr>
        <w:pStyle w:val="ae"/>
      </w:pPr>
      <w:r w:rsidRPr="00FD794A">
        <w:footnoteRef/>
      </w:r>
      <w:r w:rsidRPr="00FD794A">
        <w:t xml:space="preserve"> Лымарь Е.Н. Особенности рынков монополистической конкуренции в региональном аспекте // Вестник Челябинского университета. – 2009. – №2. – С.74.</w:t>
      </w:r>
    </w:p>
  </w:footnote>
  <w:footnote w:id="20">
    <w:p w:rsidR="00EA27F9" w:rsidRDefault="00B255CF" w:rsidP="00FD794A">
      <w:pPr>
        <w:pStyle w:val="ae"/>
      </w:pPr>
      <w:r w:rsidRPr="00FD794A">
        <w:footnoteRef/>
      </w:r>
      <w:r w:rsidRPr="00FD794A">
        <w:t xml:space="preserve"> Федеральная служба государственной статистики. – www.gks.ru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28796E"/>
    <w:lvl w:ilvl="0">
      <w:numFmt w:val="bullet"/>
      <w:lvlText w:val="*"/>
      <w:lvlJc w:val="left"/>
    </w:lvl>
  </w:abstractNum>
  <w:abstractNum w:abstractNumId="1">
    <w:nsid w:val="030F14E5"/>
    <w:multiLevelType w:val="hybridMultilevel"/>
    <w:tmpl w:val="B22017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0AC14BAD"/>
    <w:multiLevelType w:val="hybridMultilevel"/>
    <w:tmpl w:val="D3C028C2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C19F0"/>
    <w:multiLevelType w:val="singleLevel"/>
    <w:tmpl w:val="8F9E4838"/>
    <w:lvl w:ilvl="0">
      <w:start w:val="1"/>
      <w:numFmt w:val="decimal"/>
      <w:lvlText w:val="%1"/>
      <w:legacy w:legacy="1" w:legacySpace="0" w:legacyIndent="151"/>
      <w:lvlJc w:val="left"/>
      <w:rPr>
        <w:rFonts w:ascii="Times New Roman" w:hAnsi="Times New Roman" w:cs="Times New Roman" w:hint="default"/>
      </w:rPr>
    </w:lvl>
  </w:abstractNum>
  <w:abstractNum w:abstractNumId="4">
    <w:nsid w:val="101F324C"/>
    <w:multiLevelType w:val="hybridMultilevel"/>
    <w:tmpl w:val="9342E846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BC2234"/>
    <w:multiLevelType w:val="hybridMultilevel"/>
    <w:tmpl w:val="0CD23F3E"/>
    <w:lvl w:ilvl="0" w:tplc="EEFCE454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ACF2752"/>
    <w:multiLevelType w:val="hybridMultilevel"/>
    <w:tmpl w:val="3F6458FE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DA4127"/>
    <w:multiLevelType w:val="hybridMultilevel"/>
    <w:tmpl w:val="5EA0B148"/>
    <w:lvl w:ilvl="0" w:tplc="D1D0CC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ADC6A98"/>
    <w:multiLevelType w:val="hybridMultilevel"/>
    <w:tmpl w:val="4330F5BE"/>
    <w:lvl w:ilvl="0" w:tplc="D1D0CC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B2E4839"/>
    <w:multiLevelType w:val="hybridMultilevel"/>
    <w:tmpl w:val="0AA80BB8"/>
    <w:lvl w:ilvl="0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E3A06F7"/>
    <w:multiLevelType w:val="hybridMultilevel"/>
    <w:tmpl w:val="8D80E436"/>
    <w:lvl w:ilvl="0" w:tplc="77CA0170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1D265EE"/>
    <w:multiLevelType w:val="hybridMultilevel"/>
    <w:tmpl w:val="323EDAA4"/>
    <w:lvl w:ilvl="0" w:tplc="D1D0CC7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40A7780"/>
    <w:multiLevelType w:val="hybridMultilevel"/>
    <w:tmpl w:val="865AA38C"/>
    <w:lvl w:ilvl="0" w:tplc="D1D0CC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5742E42"/>
    <w:multiLevelType w:val="hybridMultilevel"/>
    <w:tmpl w:val="C8AAC454"/>
    <w:lvl w:ilvl="0" w:tplc="D1D0CC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1E0136"/>
    <w:multiLevelType w:val="singleLevel"/>
    <w:tmpl w:val="6516608E"/>
    <w:lvl w:ilvl="0">
      <w:start w:val="1"/>
      <w:numFmt w:val="decimal"/>
      <w:lvlText w:val="%1"/>
      <w:legacy w:legacy="1" w:legacySpace="0" w:legacyIndent="152"/>
      <w:lvlJc w:val="left"/>
      <w:rPr>
        <w:rFonts w:ascii="Times New Roman" w:hAnsi="Times New Roman" w:cs="Times New Roman" w:hint="default"/>
      </w:rPr>
    </w:lvl>
  </w:abstractNum>
  <w:abstractNum w:abstractNumId="15">
    <w:nsid w:val="5573530A"/>
    <w:multiLevelType w:val="hybridMultilevel"/>
    <w:tmpl w:val="C5D2AF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40032AA"/>
    <w:multiLevelType w:val="hybridMultilevel"/>
    <w:tmpl w:val="A072BE16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7C5B56"/>
    <w:multiLevelType w:val="hybridMultilevel"/>
    <w:tmpl w:val="886AB61E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D94A8B"/>
    <w:multiLevelType w:val="hybridMultilevel"/>
    <w:tmpl w:val="010A5F9C"/>
    <w:lvl w:ilvl="0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8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8"/>
  </w:num>
  <w:num w:numId="10">
    <w:abstractNumId w:val="9"/>
  </w:num>
  <w:num w:numId="11">
    <w:abstractNumId w:val="6"/>
  </w:num>
  <w:num w:numId="12">
    <w:abstractNumId w:val="11"/>
  </w:num>
  <w:num w:numId="13">
    <w:abstractNumId w:val="13"/>
  </w:num>
  <w:num w:numId="14">
    <w:abstractNumId w:val="16"/>
  </w:num>
  <w:num w:numId="15">
    <w:abstractNumId w:val="17"/>
  </w:num>
  <w:num w:numId="16">
    <w:abstractNumId w:val="2"/>
  </w:num>
  <w:num w:numId="17">
    <w:abstractNumId w:val="4"/>
  </w:num>
  <w:num w:numId="18">
    <w:abstractNumId w:val="1"/>
  </w:num>
  <w:num w:numId="19">
    <w:abstractNumId w:val="10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E54"/>
    <w:rsid w:val="00075B81"/>
    <w:rsid w:val="001B5B3E"/>
    <w:rsid w:val="001E2CA1"/>
    <w:rsid w:val="0025434E"/>
    <w:rsid w:val="002D25EF"/>
    <w:rsid w:val="00302487"/>
    <w:rsid w:val="00305F4F"/>
    <w:rsid w:val="00356FB9"/>
    <w:rsid w:val="00394271"/>
    <w:rsid w:val="003B073E"/>
    <w:rsid w:val="003B150E"/>
    <w:rsid w:val="003E2E54"/>
    <w:rsid w:val="003E5BBF"/>
    <w:rsid w:val="0047098C"/>
    <w:rsid w:val="004D48D0"/>
    <w:rsid w:val="00540096"/>
    <w:rsid w:val="005D72AD"/>
    <w:rsid w:val="00711344"/>
    <w:rsid w:val="00747F12"/>
    <w:rsid w:val="00755FA3"/>
    <w:rsid w:val="00776328"/>
    <w:rsid w:val="00786BAD"/>
    <w:rsid w:val="007F5C1E"/>
    <w:rsid w:val="009B540B"/>
    <w:rsid w:val="00A471A3"/>
    <w:rsid w:val="00B255CF"/>
    <w:rsid w:val="00B91D79"/>
    <w:rsid w:val="00C8676D"/>
    <w:rsid w:val="00CA7423"/>
    <w:rsid w:val="00CB35F0"/>
    <w:rsid w:val="00E218DA"/>
    <w:rsid w:val="00E8184F"/>
    <w:rsid w:val="00E92E00"/>
    <w:rsid w:val="00EA27F9"/>
    <w:rsid w:val="00EF061D"/>
    <w:rsid w:val="00F0119F"/>
    <w:rsid w:val="00F57006"/>
    <w:rsid w:val="00F72E35"/>
    <w:rsid w:val="00F84D64"/>
    <w:rsid w:val="00FC0966"/>
    <w:rsid w:val="00FD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83CA46E-801F-4EB2-9887-C16B6ED2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54"/>
    <w:pPr>
      <w:widowControl w:val="0"/>
      <w:autoSpaceDE w:val="0"/>
      <w:autoSpaceDN w:val="0"/>
      <w:adjustRightInd w:val="0"/>
      <w:spacing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43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25434E"/>
    <w:rPr>
      <w:rFonts w:cs="Times New Roman"/>
    </w:rPr>
  </w:style>
  <w:style w:type="paragraph" w:styleId="a6">
    <w:name w:val="Normal (Web)"/>
    <w:basedOn w:val="a"/>
    <w:uiPriority w:val="99"/>
    <w:rsid w:val="0071134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47098C"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47098C"/>
    <w:rPr>
      <w:rFonts w:cs="Times New Roman"/>
      <w:vertAlign w:val="superscript"/>
    </w:rPr>
  </w:style>
  <w:style w:type="character" w:styleId="aa">
    <w:name w:val="Hyperlink"/>
    <w:uiPriority w:val="99"/>
    <w:rsid w:val="00B255CF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B255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</w:rPr>
  </w:style>
  <w:style w:type="paragraph" w:customStyle="1" w:styleId="ad">
    <w:name w:val="Аа"/>
    <w:basedOn w:val="a"/>
    <w:qFormat/>
    <w:rsid w:val="001E2CA1"/>
    <w:pPr>
      <w:widowControl/>
      <w:suppressAutoHyphens/>
      <w:autoSpaceDE/>
      <w:autoSpaceDN/>
      <w:adjustRightInd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e">
    <w:name w:val="Бб"/>
    <w:basedOn w:val="ad"/>
    <w:qFormat/>
    <w:rsid w:val="001E2CA1"/>
    <w:pPr>
      <w:ind w:firstLine="0"/>
      <w:jc w:val="left"/>
    </w:pPr>
    <w:rPr>
      <w:sz w:val="20"/>
    </w:rPr>
  </w:style>
  <w:style w:type="character" w:styleId="af">
    <w:name w:val="Emphasis"/>
    <w:uiPriority w:val="20"/>
    <w:qFormat/>
    <w:rsid w:val="003E5BBF"/>
    <w:rPr>
      <w:rFonts w:cs="Times New Roman"/>
      <w:i/>
      <w:iCs/>
    </w:rPr>
  </w:style>
  <w:style w:type="table" w:styleId="af0">
    <w:name w:val="Table Grid"/>
    <w:basedOn w:val="a1"/>
    <w:uiPriority w:val="59"/>
    <w:rsid w:val="00A471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5852</Words>
  <Characters>33360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Идея монополистической конкуренции принадлежит английскому экономисту П</vt:lpstr>
    </vt:vector>
  </TitlesOfParts>
  <Company>Microsoft</Company>
  <LinksUpToDate>false</LinksUpToDate>
  <CharactersWithSpaces>39134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Идея монополистической конкуренции принадлежит английскому экономисту П</dc:title>
  <dc:subject/>
  <dc:creator>Zver</dc:creator>
  <cp:keywords/>
  <dc:description/>
  <cp:lastModifiedBy>admin</cp:lastModifiedBy>
  <cp:revision>2</cp:revision>
  <dcterms:created xsi:type="dcterms:W3CDTF">2014-02-27T13:15:00Z</dcterms:created>
  <dcterms:modified xsi:type="dcterms:W3CDTF">2014-02-27T13:15:00Z</dcterms:modified>
</cp:coreProperties>
</file>