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E4090E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E4090E" w:rsidRDefault="007507A4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  <w:r w:rsidRPr="00E4090E">
        <w:rPr>
          <w:rStyle w:val="FontStyle20"/>
          <w:caps/>
          <w:sz w:val="28"/>
          <w:szCs w:val="28"/>
        </w:rPr>
        <w:t>Эссе на тему</w:t>
      </w:r>
    </w:p>
    <w:p w:rsidR="007507A4" w:rsidRPr="00E4090E" w:rsidRDefault="007507A4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  <w:r w:rsidRPr="00E4090E">
        <w:rPr>
          <w:rStyle w:val="FontStyle20"/>
          <w:caps/>
          <w:sz w:val="28"/>
          <w:szCs w:val="28"/>
        </w:rPr>
        <w:t>особенности экономического развития современной России в свете экономических учений</w:t>
      </w:r>
    </w:p>
    <w:p w:rsidR="00E71BF3" w:rsidRDefault="00E71BF3" w:rsidP="00E4090E">
      <w:pPr>
        <w:pStyle w:val="Style4"/>
        <w:widowControl/>
        <w:spacing w:line="360" w:lineRule="auto"/>
        <w:ind w:firstLine="720"/>
        <w:jc w:val="center"/>
        <w:rPr>
          <w:rStyle w:val="FontStyle20"/>
          <w:caps/>
          <w:sz w:val="28"/>
          <w:szCs w:val="28"/>
        </w:rPr>
      </w:pPr>
    </w:p>
    <w:p w:rsidR="00A7713A" w:rsidRPr="00E4090E" w:rsidRDefault="00E4090E" w:rsidP="00E4090E">
      <w:pPr>
        <w:pStyle w:val="Style4"/>
        <w:widowControl/>
        <w:spacing w:line="360" w:lineRule="auto"/>
        <w:ind w:firstLine="720"/>
        <w:jc w:val="both"/>
        <w:rPr>
          <w:rStyle w:val="FontStyle20"/>
          <w:sz w:val="28"/>
          <w:szCs w:val="28"/>
        </w:rPr>
      </w:pPr>
      <w:r>
        <w:rPr>
          <w:rStyle w:val="FontStyle20"/>
          <w:caps/>
          <w:sz w:val="28"/>
          <w:szCs w:val="28"/>
        </w:rPr>
        <w:br w:type="page"/>
      </w:r>
      <w:r w:rsidR="00A7713A" w:rsidRPr="00E4090E">
        <w:rPr>
          <w:rStyle w:val="FontStyle20"/>
          <w:sz w:val="28"/>
          <w:szCs w:val="28"/>
        </w:rPr>
        <w:t>Российская экономическая мысль знала в своей истории переломные моменты, когда казалось, что самобытность национальной науки утрачивается. Но проходило время, и преемственность в отечественной экономической науке возрождалась. Поэтому очень интересно и полезно проследить историю экономических идей.</w:t>
      </w:r>
    </w:p>
    <w:p w:rsidR="007507A4" w:rsidRPr="00E4090E" w:rsidRDefault="00A7713A" w:rsidP="00E4090E">
      <w:pPr>
        <w:pStyle w:val="Style4"/>
        <w:widowControl/>
        <w:spacing w:line="360" w:lineRule="auto"/>
        <w:ind w:firstLine="720"/>
        <w:jc w:val="both"/>
        <w:rPr>
          <w:rStyle w:val="FontStyle20"/>
          <w:sz w:val="28"/>
          <w:szCs w:val="28"/>
        </w:rPr>
      </w:pPr>
      <w:r w:rsidRPr="00E4090E">
        <w:rPr>
          <w:rStyle w:val="FontStyle20"/>
          <w:sz w:val="28"/>
          <w:szCs w:val="28"/>
        </w:rPr>
        <w:t>Бурный период Петровских реформ заложил основы новой культурной традиции нашей страны, в которой ученость и «книжная мудрость» заняли достойное место. Именно в тот период начала формироваться отечественная научная мысль, имеющая ряд особенностей. К ним можно отнести нацеленность ученых-экономистов на создание синтетических теорий, видение экономических процессов с позиций интересов всего государства и всей нации, включение в экономические исследования ценностного и морально-этического аспектов. Главная и очень русская черта отечественной экономической мысли была ясно выражена И.Т. Посошковым. Самым важным он считал снискание «невещественного богатства», «снискание правды».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Рассматривая историю экономической мысли, нужно принимать во внимание тот социальный фон, на котором происходит ее развитие. Однако следует помнить, что трактовка социальных отношений лишь в качестве фона для экономической мысли является в научной и учебной литературе условным приемом, применением метода абстракции, в то время как в реальной действительности система социальных отношений - это система взаимосвязанная, ее элементы - экономика, политика и культура (в состав последней входят и различные науки) - взаимно влияют друг на друга. В свою очередь, существует взаимное влияние экономической, политологической и культурологической науки. Поэтому для лучшего понимания развития экономической мысли нужно воспринимать ее как часть развития социальной мысли в целом. Особое внимание здесь следует уделять философии, создающей для экономической науки методологическую базу.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Если же мы изучаем историю экономической мысли определенной страны, в данном случае России, то следует иметь в виду соотношение ее развития с развитием мировой экономической науки. Дело в том, что лидерами в мировой экономической науке в различные периоды ее истории были представители разных стран. Как правило, это научное лидерство отражало реальный уровень развития соответствующих стран. Так, с середины XVII до середины XIX в. создателями новых, оригинальных экономических теорий были англичане и французы, сформировавшие в этот временной период классическую политическую экономию, а экономисты других стран в основном перерабатывали их теории применительно к специфическим особенностям социально-экономических отношений своих стран. В середине XIX в. вперед выдвинулась Германия со своей исторической школой, которая в 1870 - 80-е гг. стала распространяться в других странах и затем в начале XX в. сделалась одной из составных частей институционалистского направления современной экономической науки. В последней трети XIX в. наряду с англичанами и французами «маржиналистскую революцию» осуществляли также австрийцы, итальянцы и американцы, а на рубеже XIX и XX вв. число стран, чьи представители выдвигали оригинальные экономические теории, наряду с США пополнили Россия и Швеция. Таким образом, в указанный исторический период (середина XVII - начало XX в.) российская экономическая мысль, так же как и экономическая мысль ряда других стран, находилась довольно далеко от передового края мировой экономической науки, но разрыв во времени между появлением определенной теории на Западе и ее распространением в России постепенно сокращался и в начале XX в. практически исчез.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Проблема временного лага - это сложная, комплексная проблема. При ее рассмотрении, во-первых, необходимо помнить о существовании лага между развитием мировой экономической науки и национальной (в данном случае российской). Как мы видели, он менялся в сторону сокращения. Во-вторых, следует обратить внимание на то, как и в какой степени западная теория трансформировалась в России в соответствии с реально существовавшими здесь социально-экономическими отношениями, относившимися к более низкой ступени исторического развития. В-третьих, следует учитывать то влияние, которое оказывают на экономическую науку социально-политическая мысль и философия. Здесь тоже существует временной лаг, например, между появлением определенной философской теории и ее применением в качестве методологии теории экономической. В целом развитие философии опережает развитие экономической науки: в то время как в философии уже происходит смена прежней научной школы на новую, в экономической науке продолжает самостоятельно развиваться теория, получившая импульс от предшествующей философской концепции. В России же в исследуемый период наблюдалась своя специфика - временной лаг между появлением философской теории на Западе и в России и временной лаг в экономической науке накладывались друг на друга, поскольку российская экономическая мысль находилась под влиянием и западной экономической науки, и российской философии.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Западное влияние начало усиливаться в России в XVII в. В Западной Европе уже с XV в. в сфере экономической мысли развивалось учение меркантилизма, но в России оно не воспринималось, так как выражало интересы торговой буржуазии. В России же конца XV в. хотя уже и возникло централизованное государство, но еще только зарождались такие феодальные сословия, как дворянство и крепостное крестьянство. Даже во второй половине XVI в. идеи меркантилизма тщетно пытались проникнуть в российские умы. Царствовавший в это время Иван Грозный в своей переписке с английской королевой Елизаветой упрекал ее в том, что она главное внимание в их общении уделяет торговым, а не государственным делам, и даже язвил, что, видно, у нее всем владеют «не только люди, а мужики торговые»</w:t>
      </w:r>
      <w:r w:rsidRPr="00E4090E">
        <w:rPr>
          <w:rStyle w:val="a5"/>
          <w:sz w:val="28"/>
          <w:szCs w:val="28"/>
        </w:rPr>
        <w:footnoteReference w:id="1"/>
      </w:r>
      <w:r w:rsidRPr="00E4090E">
        <w:rPr>
          <w:rStyle w:val="FontStyle27"/>
          <w:sz w:val="28"/>
          <w:szCs w:val="28"/>
        </w:rPr>
        <w:t>. Как мы видим по переписке, это были хотя и современники, но по сути люди разных эпох.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В Англии внешняя торговля была уже одним из важнейших государственных дел, купцы считались людьми нужными и уважаемыми, принимаемыми при дворе, в их торговые операции даже королева вкладывала свои деньги. В России в это же время торговля еще не признавалась делом государственным, а купцы - это были даже не люди, а «мужики торговые».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Следующий, XVII в. начался для Российского государства Смутным временем, которое выявило отставание России от Запада, прежде всего в военной сфере. Поэтому при Михаиле Романове, когда страна была разорена и главной задачей было ее возвращение к прежнему уровню, в России начали появляться первые иностранные специалисты, а уже при Алексее Михайловиче их оказалось столько, что в Москве возникла целая Немецкая слобода. И в частности, благодаря иностранцам в России стали строиться первые капиталистические предприятия - мануфактуры.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 xml:space="preserve">При Алексее Михайловиче были восприняты наконец и идеи меркантилизма. Однако временной лаг продолжал сохраняться. Новоторговый устав 1667 г., написанный главным теоретиком и практиком российского меркантилизма, главой Посольского приказа </w:t>
      </w:r>
      <w:r w:rsidRPr="00E4090E">
        <w:rPr>
          <w:rStyle w:val="FontStyle26"/>
          <w:b w:val="0"/>
          <w:sz w:val="28"/>
          <w:szCs w:val="28"/>
        </w:rPr>
        <w:t xml:space="preserve">Афанасием Ордин-Нащокиным, </w:t>
      </w:r>
      <w:r w:rsidRPr="00E4090E">
        <w:rPr>
          <w:rStyle w:val="FontStyle27"/>
          <w:sz w:val="28"/>
          <w:szCs w:val="28"/>
        </w:rPr>
        <w:t>стоял на позициях раннего меркантилизма, в то время как в Англии (если продолжить ее сравнение с Россией) был уже поздний меркантилизм, одним из идеологов которого был Томас Манн, написавший еще в 1630 г. известное сочинение «Богатство Англии во внешней торговле». Таким образом, прямого заимствования идей не происходило, западные теории трансформировались с учетом реальной социально-экономической российской ситуации.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 xml:space="preserve">В следующее царствование, в поистине революционную эпоху Петра I, когда было «прорублено окно в Европу», создан собственный флот и значительно активизирована внешняя торговля, другой российский идеолог меркантилизма </w:t>
      </w:r>
      <w:r w:rsidRPr="00E4090E">
        <w:rPr>
          <w:rStyle w:val="FontStyle26"/>
          <w:b w:val="0"/>
          <w:sz w:val="28"/>
          <w:szCs w:val="28"/>
        </w:rPr>
        <w:t xml:space="preserve">Федор Салтыков, </w:t>
      </w:r>
      <w:r w:rsidRPr="00E4090E">
        <w:rPr>
          <w:rStyle w:val="FontStyle27"/>
          <w:sz w:val="28"/>
          <w:szCs w:val="28"/>
        </w:rPr>
        <w:t>предлагавший в письмах из Англии свои «пропозиции» по развитию внешней торговли, тоже оговаривается, что не все английские порядки для России годятся.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 xml:space="preserve">Тем не менее, и в царствование Алексея Михайловича, и в царствование Петра I, в России продолжало еще существовать средневековое направление экономической мысли, главными фигурами которого были </w:t>
      </w:r>
      <w:r w:rsidRPr="00E4090E">
        <w:rPr>
          <w:rStyle w:val="FontStyle26"/>
          <w:b w:val="0"/>
          <w:sz w:val="28"/>
          <w:szCs w:val="28"/>
        </w:rPr>
        <w:t xml:space="preserve">Юрий Крижанич </w:t>
      </w:r>
      <w:r w:rsidRPr="00E4090E">
        <w:rPr>
          <w:rStyle w:val="FontStyle27"/>
          <w:sz w:val="28"/>
          <w:szCs w:val="28"/>
        </w:rPr>
        <w:t xml:space="preserve">(«Политичны думы», конец 1660-х - 1670-е гг.) и </w:t>
      </w:r>
      <w:r w:rsidRPr="00E4090E">
        <w:rPr>
          <w:rStyle w:val="FontStyle26"/>
          <w:b w:val="0"/>
          <w:sz w:val="28"/>
          <w:szCs w:val="28"/>
        </w:rPr>
        <w:t xml:space="preserve">Иван Посошков </w:t>
      </w:r>
      <w:r w:rsidRPr="00E4090E">
        <w:rPr>
          <w:rStyle w:val="FontStyle27"/>
          <w:sz w:val="28"/>
          <w:szCs w:val="28"/>
        </w:rPr>
        <w:t>(«Книга о скудости и богатстве», 1724). Для средневековой экономической мысли был характерен комплексный подход и использование морально-этической аргументации со ссылками на Священное Писание. Кроме того, сочинения обоих указанных авторов не являлись чисто экономическими, они были посвящены государственному управлению, и наряду с экономикой здесь рассматривались проблемы церкви, судебной системы, армии и т.п. Непосредственно в разделе об экономике разбирались все отрасли народного хозяйства, а не только внешняя торговля, как у меркантилистов. Ключевые экономические понятия у Крижанича и Посошкова также отличались от меркантилистских трактовок - так, например, богатством страны они считали не деньги, а народное благосостояние, в отношении самих денег ими использовалась номиналистическая, а не товарная теория.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Во второй четверти XVIII в. российская экономическая мысль была представлена сочинениями прикладного характера, в частности рекомендациями по управлению поместьем (В. Татищев, А. Волынский), и лишь в 60-е гг. XVIII в. в Россию проникает классическая политическая экономия в лице теории физиократов.</w:t>
      </w:r>
    </w:p>
    <w:p w:rsidR="00890ACB" w:rsidRPr="00E4090E" w:rsidRDefault="00890ACB" w:rsidP="00E4090E">
      <w:pPr>
        <w:pStyle w:val="Style8"/>
        <w:widowControl/>
        <w:spacing w:line="360" w:lineRule="auto"/>
        <w:ind w:firstLine="720"/>
        <w:jc w:val="both"/>
        <w:rPr>
          <w:rStyle w:val="FontStyle27"/>
          <w:sz w:val="28"/>
          <w:szCs w:val="28"/>
        </w:rPr>
      </w:pPr>
      <w:r w:rsidRPr="00E4090E">
        <w:rPr>
          <w:rStyle w:val="FontStyle27"/>
          <w:sz w:val="28"/>
          <w:szCs w:val="28"/>
        </w:rPr>
        <w:t>В последующий период российская экономическая наука прошла вслед за мировой наукой этап классической политической экономии со всеми ее внутренними течениями. Во второй половине XIX в. с ней достаточно успешно стала соперничать историческая школа, а в начале XX в. начали развиваться маржинилистское и институционалистское направления. В это время, на рубеже XIX и XX вв. российская экономическая наука уже перестала быть «догоняющей» и вышла на мировой уровень экономической мысли. Российские экономисты наряду с экономистами ведущих стран стали выдвигать оригинальные теории, продвигающие вперед мировую экономическую науку.</w:t>
      </w:r>
    </w:p>
    <w:p w:rsidR="00A7713A" w:rsidRPr="00E4090E" w:rsidRDefault="00A7713A" w:rsidP="00E4090E">
      <w:pPr>
        <w:pStyle w:val="Style4"/>
        <w:widowControl/>
        <w:spacing w:line="360" w:lineRule="auto"/>
        <w:ind w:firstLine="720"/>
        <w:jc w:val="both"/>
        <w:rPr>
          <w:rStyle w:val="FontStyle20"/>
          <w:sz w:val="28"/>
          <w:szCs w:val="28"/>
        </w:rPr>
      </w:pPr>
      <w:r w:rsidRPr="00E4090E">
        <w:rPr>
          <w:rStyle w:val="FontStyle20"/>
          <w:sz w:val="28"/>
          <w:szCs w:val="28"/>
        </w:rPr>
        <w:t>XIX в. и начало XX в. ознаменовались научными достижениями мирового уровня, связанными с целым созвездием имен: А.А. Богданов, В.А. Базаров, В.И. Вернадский, И.М. Кулишер, Н.Д. Кондратьев, И.Н. Миклашевский, Г.В. Плеханов, Е.Е</w:t>
      </w:r>
      <w:r w:rsidR="007507A4" w:rsidRPr="00E4090E">
        <w:rPr>
          <w:rStyle w:val="FontStyle20"/>
          <w:sz w:val="28"/>
          <w:szCs w:val="28"/>
        </w:rPr>
        <w:t>. Слуцкий, П.Б. Струве, М.И. Ту</w:t>
      </w:r>
      <w:r w:rsidRPr="00E4090E">
        <w:rPr>
          <w:rStyle w:val="FontStyle20"/>
          <w:sz w:val="28"/>
          <w:szCs w:val="28"/>
        </w:rPr>
        <w:t>ган-Барановский, А.В. Чаянов, А.И. Чупров, И.И. Янжул, Ю.Э. Янсон и многие другие.</w:t>
      </w:r>
    </w:p>
    <w:p w:rsidR="00A7713A" w:rsidRPr="00E4090E" w:rsidRDefault="00A7713A" w:rsidP="00E4090E">
      <w:pPr>
        <w:pStyle w:val="Style4"/>
        <w:widowControl/>
        <w:spacing w:line="360" w:lineRule="auto"/>
        <w:ind w:firstLine="720"/>
        <w:jc w:val="both"/>
        <w:rPr>
          <w:rStyle w:val="FontStyle20"/>
          <w:sz w:val="28"/>
          <w:szCs w:val="28"/>
        </w:rPr>
      </w:pPr>
      <w:r w:rsidRPr="00E4090E">
        <w:rPr>
          <w:rStyle w:val="FontStyle20"/>
          <w:sz w:val="28"/>
          <w:szCs w:val="28"/>
        </w:rPr>
        <w:t>Социалистическая революция внесла свои коррективы в развитие экономической науки. Сделав учебные заведения доступными для широких масс, она способствовала подготовке многочисленных специалистов и научных исследователей. В то же время жесткие идеологические рамки марксизма привели к деформации экономической науки. Научная теория может развиваться несколькими путями: во-первых, опираясь на ранее выявленные истины, логически выводить новые закономерности, т.е. выдвигать научные гипотезы; во-вторых, в результате анализа эмпирических данных, эксперимента; в-третьих, критикуя неправильные теоретические положения или заблуждения. Все перечисленные направления тесно взаимосвязаны, равнозначны и равноценны. Более того, наука может развиваться, аккумулируя все эти подходы.</w:t>
      </w:r>
    </w:p>
    <w:p w:rsidR="00A7713A" w:rsidRPr="00E4090E" w:rsidRDefault="00A7713A" w:rsidP="00E4090E">
      <w:pPr>
        <w:pStyle w:val="Style4"/>
        <w:widowControl/>
        <w:spacing w:line="360" w:lineRule="auto"/>
        <w:ind w:firstLine="720"/>
        <w:jc w:val="both"/>
        <w:rPr>
          <w:rStyle w:val="FontStyle20"/>
          <w:sz w:val="28"/>
          <w:szCs w:val="28"/>
        </w:rPr>
      </w:pPr>
      <w:r w:rsidRPr="00E4090E">
        <w:rPr>
          <w:rStyle w:val="FontStyle20"/>
          <w:sz w:val="28"/>
          <w:szCs w:val="28"/>
        </w:rPr>
        <w:t>В марксистской политэкономии в этом отношении произошел явный перекос в сторону первого подхода, причем в догматическом варианте, когда марксисты были лишены возможности вести свободный научный поиск, выстраивать научные гипотезы, слишком далеко отстоящие от уже известных постулатов. В отрыве от остальных двух первый подход во многом превратился в формально логическую эквилибристику, скудно подкрепленную эмпирическими данными, куцей статистикой. Произошел разрыв в преемственности отечественной экономической мысли.</w:t>
      </w:r>
    </w:p>
    <w:p w:rsidR="00A7713A" w:rsidRPr="00E4090E" w:rsidRDefault="00A7713A" w:rsidP="00E4090E">
      <w:pPr>
        <w:pStyle w:val="Style4"/>
        <w:widowControl/>
        <w:spacing w:line="360" w:lineRule="auto"/>
        <w:ind w:firstLine="720"/>
        <w:jc w:val="both"/>
        <w:rPr>
          <w:rStyle w:val="FontStyle20"/>
          <w:sz w:val="28"/>
          <w:szCs w:val="28"/>
        </w:rPr>
      </w:pPr>
      <w:r w:rsidRPr="00E4090E">
        <w:rPr>
          <w:rStyle w:val="FontStyle20"/>
          <w:sz w:val="28"/>
          <w:szCs w:val="28"/>
        </w:rPr>
        <w:t>Новое время ставит и новые задачи перед экономистами. Современные рыночные реформы на рубеже двух тысячелетий потребовали существенного пересмотра научных подходов в области экономического познания, вовлечение в научный оборот западных теорий и методов исследования. Однако постепенно стало ясно, что увлечение исключительно моделированием экономических процессов, которое охватило российских экономистов в последние годы, ведет к упрощенному пониманию живой экономической действительности. Период некритического принятия любых западных теорий как истинных в России должен закончиться. Первоначальное активное, иногда слепое увлечение западной экономической мыслью заменяется взвешенным осмыслением достижений мировой и отечественной науки.</w:t>
      </w:r>
    </w:p>
    <w:p w:rsidR="00A7713A" w:rsidRPr="00E4090E" w:rsidRDefault="00A7713A" w:rsidP="00E4090E">
      <w:pPr>
        <w:pStyle w:val="Style4"/>
        <w:widowControl/>
        <w:spacing w:line="360" w:lineRule="auto"/>
        <w:ind w:firstLine="720"/>
        <w:jc w:val="both"/>
        <w:rPr>
          <w:rStyle w:val="FontStyle20"/>
          <w:sz w:val="28"/>
          <w:szCs w:val="28"/>
        </w:rPr>
      </w:pPr>
      <w:r w:rsidRPr="00E4090E">
        <w:rPr>
          <w:rStyle w:val="FontStyle20"/>
          <w:sz w:val="28"/>
          <w:szCs w:val="28"/>
        </w:rPr>
        <w:t>Указанные периоды в истории становления отечественной экономической мысли настолько разные по культурным, идеологическим и ценностным подходам, что смена господствующих теорий приводила к яростному столкновению «старого» и «нового». На этом пути были и неоправданные утраты. Именно поэтому российская экономическая наука как никогда нуждается в сохранении и восстановлении традиций научного сообщества. Существование преемственности между поколениями научных школ обогащает науку. Знание истории отечественной экономической науки необычайно важно, поскольку наследие выдающихся экономистов прошлого может помочь нам в освоении подходов к анализу современных проблем. Богатство традиций создает будущим исследователям возможность выбрать свой путь, отвечающий вызовам времени.</w:t>
      </w:r>
    </w:p>
    <w:p w:rsidR="00A7713A" w:rsidRPr="00E4090E" w:rsidRDefault="00A7713A" w:rsidP="00E4090E">
      <w:pPr>
        <w:pStyle w:val="Style4"/>
        <w:widowControl/>
        <w:spacing w:line="360" w:lineRule="auto"/>
        <w:ind w:firstLine="720"/>
        <w:jc w:val="both"/>
        <w:rPr>
          <w:rStyle w:val="FontStyle30"/>
          <w:b w:val="0"/>
          <w:sz w:val="28"/>
          <w:szCs w:val="28"/>
        </w:rPr>
      </w:pPr>
      <w:r w:rsidRPr="00E4090E">
        <w:rPr>
          <w:rStyle w:val="FontStyle20"/>
          <w:sz w:val="28"/>
          <w:szCs w:val="28"/>
        </w:rPr>
        <w:t>Учебной литературы по проблемам российской экономической мысли как неотъемлемой части мировой науки явно недостаточно. Как правило, российской тематике в учебниках отводится один раздел. И, к сожалению, в научном сообществе до сих пор преобладает представление о том, что российская практика и собственно наука полностью повторяют путь, пройденный Западом. Такая точка зрения лишает отечественных ученых права на самобытность.</w:t>
      </w:r>
      <w:bookmarkStart w:id="0" w:name="_GoBack"/>
      <w:bookmarkEnd w:id="0"/>
    </w:p>
    <w:sectPr w:rsidR="00A7713A" w:rsidRPr="00E4090E" w:rsidSect="00E4090E">
      <w:type w:val="continuous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1FE" w:rsidRDefault="00B811FE">
      <w:r>
        <w:separator/>
      </w:r>
    </w:p>
  </w:endnote>
  <w:endnote w:type="continuationSeparator" w:id="0">
    <w:p w:rsidR="00B811FE" w:rsidRDefault="00B8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1FE" w:rsidRDefault="00B811FE">
      <w:r>
        <w:separator/>
      </w:r>
    </w:p>
  </w:footnote>
  <w:footnote w:type="continuationSeparator" w:id="0">
    <w:p w:rsidR="00B811FE" w:rsidRDefault="00B811FE">
      <w:r>
        <w:continuationSeparator/>
      </w:r>
    </w:p>
  </w:footnote>
  <w:footnote w:id="1">
    <w:p w:rsidR="00B811FE" w:rsidRDefault="00890ACB" w:rsidP="00890ACB">
      <w:pPr>
        <w:pStyle w:val="Style2"/>
        <w:widowControl/>
        <w:spacing w:line="360" w:lineRule="auto"/>
        <w:ind w:firstLine="720"/>
        <w:jc w:val="both"/>
      </w:pPr>
      <w:r>
        <w:rPr>
          <w:rStyle w:val="a5"/>
        </w:rPr>
        <w:footnoteRef/>
      </w:r>
      <w:r w:rsidRPr="00890ACB">
        <w:rPr>
          <w:rStyle w:val="FontStyle24"/>
          <w:b w:val="0"/>
          <w:sz w:val="20"/>
          <w:szCs w:val="20"/>
        </w:rPr>
        <w:t>Иван Грозный</w:t>
      </w:r>
      <w:r w:rsidRPr="00890ACB">
        <w:rPr>
          <w:rStyle w:val="FontStyle25"/>
          <w:b w:val="0"/>
          <w:i w:val="0"/>
          <w:sz w:val="20"/>
          <w:szCs w:val="20"/>
        </w:rPr>
        <w:t xml:space="preserve">. </w:t>
      </w:r>
      <w:r w:rsidRPr="00890ACB">
        <w:rPr>
          <w:rStyle w:val="FontStyle24"/>
          <w:b w:val="0"/>
          <w:sz w:val="20"/>
          <w:szCs w:val="20"/>
        </w:rPr>
        <w:t>Сочинения. / Иван грозный. - СПб.: Питер, 2000. – 456 с. - С. 106.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9FE"/>
    <w:rsid w:val="00035411"/>
    <w:rsid w:val="001C185F"/>
    <w:rsid w:val="007507A4"/>
    <w:rsid w:val="00890ACB"/>
    <w:rsid w:val="00901F86"/>
    <w:rsid w:val="00A02C34"/>
    <w:rsid w:val="00A7713A"/>
    <w:rsid w:val="00B549FE"/>
    <w:rsid w:val="00B811FE"/>
    <w:rsid w:val="00E04745"/>
    <w:rsid w:val="00E4090E"/>
    <w:rsid w:val="00E71BF3"/>
    <w:rsid w:val="00E9241D"/>
    <w:rsid w:val="00ED0780"/>
    <w:rsid w:val="00EF25B0"/>
    <w:rsid w:val="00F3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BC14A6-361F-409D-9970-0CF1CFB2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character" w:customStyle="1" w:styleId="FontStyle18">
    <w:name w:val="Font Style18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rPr>
      <w:rFonts w:ascii="Constantia" w:hAnsi="Constantia" w:cs="Constantia"/>
      <w:b/>
      <w:bCs/>
      <w:sz w:val="22"/>
      <w:szCs w:val="22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footnote text"/>
    <w:basedOn w:val="a"/>
    <w:link w:val="a4"/>
    <w:uiPriority w:val="99"/>
    <w:semiHidden/>
    <w:unhideWhenUsed/>
    <w:rsid w:val="00890ACB"/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  <w:locked/>
    <w:rsid w:val="00890ACB"/>
    <w:rPr>
      <w:rFonts w:hAnsi="Times New Roman" w:cs="Times New Roman"/>
    </w:rPr>
  </w:style>
  <w:style w:type="character" w:styleId="a5">
    <w:name w:val="footnote reference"/>
    <w:uiPriority w:val="99"/>
    <w:semiHidden/>
    <w:unhideWhenUsed/>
    <w:rsid w:val="00890AC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93B4-5EA3-4809-95C1-1BC64766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sodisl</dc:creator>
  <cp:keywords/>
  <dc:description/>
  <cp:lastModifiedBy>Irina</cp:lastModifiedBy>
  <cp:revision>2</cp:revision>
  <cp:lastPrinted>2009-03-14T09:46:00Z</cp:lastPrinted>
  <dcterms:created xsi:type="dcterms:W3CDTF">2014-09-29T19:14:00Z</dcterms:created>
  <dcterms:modified xsi:type="dcterms:W3CDTF">2014-09-29T19:14:00Z</dcterms:modified>
</cp:coreProperties>
</file>