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A240B2">
      <w:pPr>
        <w:keepNext/>
        <w:widowControl w:val="0"/>
        <w:rPr>
          <w:color w:val="auto"/>
          <w:lang w:val="uk-UA"/>
        </w:rPr>
      </w:pPr>
    </w:p>
    <w:p w:rsidR="001742DA" w:rsidRPr="00A240B2" w:rsidRDefault="00587DC9" w:rsidP="00A240B2">
      <w:pPr>
        <w:keepNext/>
        <w:widowControl w:val="0"/>
        <w:jc w:val="center"/>
        <w:rPr>
          <w:color w:val="auto"/>
          <w:lang w:val="uk-UA"/>
        </w:rPr>
      </w:pPr>
      <w:r w:rsidRPr="00A240B2">
        <w:rPr>
          <w:color w:val="auto"/>
          <w:lang w:val="uk-UA"/>
        </w:rPr>
        <w:t>Науково-практичні основи аналізу банкрутства підприємства та шляхи його подолання</w:t>
      </w:r>
    </w:p>
    <w:p w:rsidR="0050528A" w:rsidRPr="00A240B2" w:rsidRDefault="00A240B2" w:rsidP="00A240B2">
      <w:pPr>
        <w:keepNext/>
        <w:widowControl w:val="0"/>
        <w:rPr>
          <w:b/>
          <w:color w:val="auto"/>
          <w:lang w:val="uk-UA"/>
        </w:rPr>
      </w:pPr>
      <w:r w:rsidRPr="00A240B2">
        <w:rPr>
          <w:b/>
          <w:color w:val="auto"/>
          <w:lang w:val="uk-UA"/>
        </w:rPr>
        <w:br w:type="page"/>
      </w:r>
      <w:r w:rsidR="0050528A" w:rsidRPr="00A240B2">
        <w:rPr>
          <w:b/>
          <w:color w:val="auto"/>
          <w:lang w:val="uk-UA"/>
        </w:rPr>
        <w:t>ПЛАН</w:t>
      </w:r>
    </w:p>
    <w:p w:rsidR="0050528A" w:rsidRPr="00A240B2" w:rsidRDefault="0050528A" w:rsidP="00A240B2">
      <w:pPr>
        <w:keepNext/>
        <w:widowControl w:val="0"/>
        <w:rPr>
          <w:color w:val="auto"/>
          <w:lang w:val="uk-UA"/>
        </w:rPr>
      </w:pP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ВСТУП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Розділ 1. Теоретичні аспекти аналізу банкрутства підприємства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1.1 Сутність та характеристика процесу банкрутства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1.2 Передумови потрапляння підприємст</w:t>
      </w:r>
      <w:r w:rsidR="009D50E8">
        <w:rPr>
          <w:color w:val="auto"/>
          <w:lang w:val="uk-UA"/>
        </w:rPr>
        <w:t xml:space="preserve">ва до банкрутства та нормативно </w:t>
      </w:r>
      <w:r w:rsidRPr="00A240B2">
        <w:rPr>
          <w:color w:val="auto"/>
          <w:lang w:val="uk-UA"/>
        </w:rPr>
        <w:t>правова база регулювання цього процесу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1.3 Антикризовий менеджмент та його роль в управлінні господарюючим суб’єктом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 xml:space="preserve">Розділ 2. Аналіз фінансово-економічного стану підприємства на прикладі ВАТ </w:t>
      </w:r>
      <w:r w:rsidR="009D50E8">
        <w:rPr>
          <w:color w:val="auto"/>
        </w:rPr>
        <w:t>«</w:t>
      </w:r>
      <w:r w:rsidRPr="00A240B2">
        <w:rPr>
          <w:color w:val="auto"/>
          <w:lang w:val="uk-UA"/>
        </w:rPr>
        <w:t>Білоцерківський молочни</w:t>
      </w:r>
      <w:r w:rsidR="009D50E8">
        <w:rPr>
          <w:color w:val="auto"/>
          <w:lang w:val="uk-UA"/>
        </w:rPr>
        <w:t>й завод»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 xml:space="preserve">2.1 Характеристика діяльності підприємства ВАТ </w:t>
      </w:r>
      <w:r w:rsidR="009D50E8">
        <w:rPr>
          <w:color w:val="auto"/>
          <w:lang w:val="uk-UA"/>
        </w:rPr>
        <w:t>«Білоцерківський молочний завод»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 xml:space="preserve">2.2 Аналіз господарського стану підприємства ВАТ </w:t>
      </w:r>
      <w:r w:rsidR="009D50E8">
        <w:rPr>
          <w:color w:val="auto"/>
          <w:lang w:val="uk-UA"/>
        </w:rPr>
        <w:t>«</w:t>
      </w:r>
      <w:r w:rsidRPr="00A240B2">
        <w:rPr>
          <w:color w:val="auto"/>
          <w:lang w:val="uk-UA"/>
        </w:rPr>
        <w:t>Білоцерківський</w:t>
      </w:r>
      <w:r w:rsidR="009D50E8">
        <w:rPr>
          <w:color w:val="auto"/>
          <w:lang w:val="uk-UA"/>
        </w:rPr>
        <w:t xml:space="preserve"> молочний завод»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Розділ 3. Шляхи подолання ста</w:t>
      </w:r>
      <w:r w:rsidR="009D50E8">
        <w:rPr>
          <w:color w:val="auto"/>
          <w:lang w:val="uk-UA"/>
        </w:rPr>
        <w:t>ну банкротства на підприємстві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3.1 Вдосконалення законодавчого регулювання банкрутства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3.2 Розробка антикризової стратегії підприємства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3.3 Напрямки підвищення конкурентоспроможності підприємства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ВИСНОВКИ</w:t>
      </w:r>
    </w:p>
    <w:p w:rsidR="00A240B2" w:rsidRPr="00A240B2" w:rsidRDefault="00A240B2" w:rsidP="009D50E8">
      <w:pPr>
        <w:keepNext/>
        <w:widowControl w:val="0"/>
        <w:ind w:firstLine="0"/>
        <w:rPr>
          <w:color w:val="auto"/>
          <w:lang w:val="uk-UA"/>
        </w:rPr>
      </w:pPr>
      <w:r w:rsidRPr="00A240B2">
        <w:rPr>
          <w:color w:val="auto"/>
          <w:lang w:val="uk-UA"/>
        </w:rPr>
        <w:t>СПИСОК ВИКОРИСТАНИХ ДЖЕРЕЛ</w:t>
      </w:r>
    </w:p>
    <w:p w:rsidR="00A240B2" w:rsidRPr="009D50E8" w:rsidRDefault="00A240B2" w:rsidP="009D50E8">
      <w:pPr>
        <w:keepNext/>
        <w:widowControl w:val="0"/>
        <w:ind w:firstLine="0"/>
        <w:rPr>
          <w:color w:val="auto"/>
        </w:rPr>
      </w:pPr>
      <w:r w:rsidRPr="00A240B2">
        <w:rPr>
          <w:color w:val="auto"/>
          <w:lang w:val="uk-UA"/>
        </w:rPr>
        <w:t>ДОДАТКИ</w:t>
      </w:r>
    </w:p>
    <w:p w:rsidR="009D50E8" w:rsidRPr="009D50E8" w:rsidRDefault="009D50E8" w:rsidP="00A240B2">
      <w:pPr>
        <w:keepNext/>
        <w:widowControl w:val="0"/>
        <w:ind w:firstLine="0"/>
        <w:jc w:val="left"/>
        <w:rPr>
          <w:color w:val="auto"/>
        </w:rPr>
      </w:pPr>
    </w:p>
    <w:p w:rsidR="00587DC9" w:rsidRPr="00A240B2" w:rsidRDefault="008C083E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br w:type="page"/>
      </w:r>
      <w:bookmarkStart w:id="0" w:name="_Toc229126173"/>
      <w:r w:rsidR="00587DC9" w:rsidRPr="00A240B2">
        <w:rPr>
          <w:color w:val="auto"/>
          <w:sz w:val="28"/>
          <w:lang w:val="uk-UA"/>
        </w:rPr>
        <w:t>ВСТУП</w:t>
      </w:r>
      <w:bookmarkEnd w:id="0"/>
    </w:p>
    <w:p w:rsidR="00A240B2" w:rsidRP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Сучасний етап розвитку України характеризується переборенням макроекономічної кризи, яка була характерна для 90-х років ХХ століття, та переходом економіки на траєкторію сталого економічного зростання.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 xml:space="preserve">Актуальність обраної теми випливає з того, що до недавнього часу для більшості суб’єктів господарювання процеси банкрутства були мало відомі. Лише в період реформування економіки (після ліквідації планового розподілу використання грошових ресурсів) відчутними стали такі економічні явища як нерентабельність, неплатоспроможність підприємств. Характерними ознаками фінансової кризи підприємства є скорочення попиту на його продукцію, і, як наслідок, зниження обсягів виробництва; зростання заборгованості постачальникам, держбюджету та банкам; затримки з виплатою заробітної плати працівникам. Кількість таких підприємств в економіці України неухильно зростає. Причому тенденції банкрутства поширюються не лише на окремих суб’єктів господарювання, а й на цілі галузі економіки (наприклад, сільське господарство, яке вже впродовж багатьох років перебуває в глибокій фінансовій кризі і де понад 85% господарюючих суб’єктів закінчують свою діяльність щорічно із збитками; в промисловості збитковим є кожне друге підприємство). 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На сьогоднішній день для більшості українських підприємств характерним є більш або менш однакове коло проблем: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- зміна економічного середовища, в якому вони існують;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- втрата традиційних ринків збуту власної продукції;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- зміна системи планування і, як результат – порушення ритмічності виробничої діяльності;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- нестабільність правового поля.</w:t>
      </w:r>
    </w:p>
    <w:p w:rsidR="00DE3D85" w:rsidRPr="00A240B2" w:rsidRDefault="00DE3D85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 xml:space="preserve">Крім того, процес приватизації також призвів до корінної зміни принципів управління підприємством, зачепив основи його існування. В ході приватизації держава втратила роль адміністратора, передав її акціонерам (новим господарям) та виконавчому органу управління – правлінню на чолі з головою. Саме ж підприємство опинилося в агресивному ринковому середовищі. З одного боку, вчорашні дружні колеги по галузі перетворилися на підступних конкурентів, з іншого – на утворений ринок хлинула більш якісна та часто більш дешева продукції іноземних виробників. По суті, у багатьох підприємств, в наслідок приватизації, так і не з’явився реальний господар, зацікавлений в розвитку підприємства і в стабільній його роботі. Це далеко не повний перелік проблем, які для багатьох українських підприємств стали причиною банкрутства і ліквідації. Щоб процеси банкрутства господарюючих суб’єктів завдавали найменшої шкоди економіці держава повинна активно виконувати свою регулюючу роль у формуванні відносин власності. А для цього необхідно мати відповідну зважену законодавчу базу. 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Неминучість виникнення криз у ринкових умовах закладена самою природою ринкових відносин та конкуренцією між виробниками, які є головною рушійною силою розвитку підприємництва. У зв’язку із тим, що криза не виникає миттєво, а зароджується всередині організації та розвивається у випадку відсутності адекватних дій, досить важливою проблемою є розробка таких основ функціонування системи антикризового менеджменту, які дозволять вчасно виявити кризові ситуації та прийняти відповідні управлінські рішення.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 xml:space="preserve">Мета дослідження </w:t>
      </w:r>
      <w:r w:rsidR="00DE3D85" w:rsidRPr="00A240B2">
        <w:rPr>
          <w:color w:val="auto"/>
          <w:szCs w:val="28"/>
          <w:lang w:val="uk-UA"/>
        </w:rPr>
        <w:t>–</w:t>
      </w:r>
      <w:r w:rsidRPr="00A240B2">
        <w:rPr>
          <w:color w:val="auto"/>
          <w:szCs w:val="28"/>
          <w:lang w:val="uk-UA"/>
        </w:rPr>
        <w:t xml:space="preserve"> </w:t>
      </w:r>
      <w:r w:rsidR="00DE3D85" w:rsidRPr="00A240B2">
        <w:rPr>
          <w:color w:val="auto"/>
          <w:szCs w:val="28"/>
          <w:lang w:val="uk-UA"/>
        </w:rPr>
        <w:t xml:space="preserve">використавши методичну базу аналізу підприємства, визначити фінансовий стан підприємства та його наближеність до банкрутства, а також </w:t>
      </w:r>
      <w:r w:rsidRPr="00A240B2">
        <w:rPr>
          <w:color w:val="auto"/>
          <w:szCs w:val="28"/>
          <w:lang w:val="uk-UA"/>
        </w:rPr>
        <w:t>обґрунтування напрямків формування</w:t>
      </w:r>
      <w:r w:rsidR="00A240B2" w:rsidRPr="00A240B2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 xml:space="preserve">на підприємстві ефективної системи антикризового управління. 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Завдання, які вирішуються у дослідженні:</w:t>
      </w:r>
    </w:p>
    <w:p w:rsidR="008C083E" w:rsidRPr="00A240B2" w:rsidRDefault="008C083E" w:rsidP="00A240B2">
      <w:pPr>
        <w:keepNext/>
        <w:widowControl w:val="0"/>
        <w:numPr>
          <w:ilvl w:val="0"/>
          <w:numId w:val="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узагальнення підходів до теорії антикризового управління;</w:t>
      </w:r>
    </w:p>
    <w:p w:rsidR="008C083E" w:rsidRPr="00A240B2" w:rsidRDefault="008C083E" w:rsidP="00A240B2">
      <w:pPr>
        <w:keepNext/>
        <w:widowControl w:val="0"/>
        <w:numPr>
          <w:ilvl w:val="0"/>
          <w:numId w:val="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 стану законодавчого регулювання сфери антикризового управління та процедури банкрутства;</w:t>
      </w:r>
    </w:p>
    <w:p w:rsidR="008C083E" w:rsidRPr="00A240B2" w:rsidRDefault="008C083E" w:rsidP="00A240B2">
      <w:pPr>
        <w:keepNext/>
        <w:widowControl w:val="0"/>
        <w:numPr>
          <w:ilvl w:val="0"/>
          <w:numId w:val="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визначення основних методів попередження виникнення криз на підприємстві;</w:t>
      </w:r>
    </w:p>
    <w:p w:rsidR="008C083E" w:rsidRPr="00A240B2" w:rsidRDefault="008C083E" w:rsidP="00A240B2">
      <w:pPr>
        <w:keepNext/>
        <w:widowControl w:val="0"/>
        <w:numPr>
          <w:ilvl w:val="0"/>
          <w:numId w:val="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 xml:space="preserve">аналіз результатів діяльності ВАТ </w:t>
      </w:r>
      <w:r w:rsidR="009D50E8">
        <w:rPr>
          <w:color w:val="auto"/>
          <w:szCs w:val="28"/>
          <w:lang w:val="uk-UA"/>
        </w:rPr>
        <w:t>«Білоцерківський молочний завод»</w:t>
      </w:r>
      <w:r w:rsidRPr="00A240B2">
        <w:rPr>
          <w:color w:val="auto"/>
          <w:szCs w:val="28"/>
          <w:lang w:val="uk-UA"/>
        </w:rPr>
        <w:t xml:space="preserve"> та надання пропозицій щодо вдосконалення управління підприємством;</w:t>
      </w:r>
    </w:p>
    <w:p w:rsidR="008C083E" w:rsidRPr="00A240B2" w:rsidRDefault="008C083E" w:rsidP="00A240B2">
      <w:pPr>
        <w:keepNext/>
        <w:widowControl w:val="0"/>
        <w:numPr>
          <w:ilvl w:val="0"/>
          <w:numId w:val="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систематизація антикризових стратегій, пошук шляхів підвищення конкурентоспроможності підприємства.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Об’єктом дослідження є система управління діяльністю підприємства харчової промисловості.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 xml:space="preserve">Предмет дослідження – шляхи формування ефективного антикризового менеджменту на підприємстві ВАТ </w:t>
      </w:r>
      <w:r w:rsidR="009D50E8">
        <w:rPr>
          <w:color w:val="auto"/>
          <w:szCs w:val="28"/>
          <w:lang w:val="uk-UA"/>
        </w:rPr>
        <w:t>«Білоцерківський молочний завод»</w:t>
      </w:r>
      <w:r w:rsidRPr="00A240B2">
        <w:rPr>
          <w:color w:val="auto"/>
          <w:szCs w:val="28"/>
          <w:lang w:val="uk-UA"/>
        </w:rPr>
        <w:t>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Широке коло питань, пов’язаних із теорією антикризового управління та пошуком основних методів керованого розвитку підприємств висвітлено у роботах вітчизняних та зарубіжних учених: Г. Александрова, В. Василенко, А. Грязнової, П. Друкера, Є. Короткова, Ф. Котлера, І. Ларіонова, Л. Лігоненко, О. Мозенкова,</w:t>
      </w:r>
      <w:r w:rsidR="00A240B2" w:rsidRPr="00A240B2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Г. Таля, Є. Уткіна та інших.</w:t>
      </w:r>
    </w:p>
    <w:p w:rsidR="008C083E" w:rsidRPr="00A240B2" w:rsidRDefault="008C083E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szCs w:val="28"/>
          <w:lang w:val="uk-UA"/>
        </w:rPr>
        <w:t>При підготовці роботи використовувалися як загальнонаукові так і спеціальні методи дослідження: аналізу і синтезу, системного підходу, методи комп’ютерної обробки даних, системно-ситуаційний,</w:t>
      </w:r>
      <w:r w:rsidR="00A240B2" w:rsidRPr="00A240B2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статистичний, порівняльний, графічний та інші методи.</w:t>
      </w:r>
      <w:r w:rsidR="00A240B2" w:rsidRPr="00A240B2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 роботі висвітлено основні способи оцінки рівня економічного</w:t>
      </w:r>
      <w:r w:rsidR="00A240B2" w:rsidRPr="00A240B2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 xml:space="preserve">розвитку та визначення кризового стану підприємства на основі методів фінансового аналізу: горизонтального, трендового аналізу, аналізу показників-індикаторів кризового стану та загрози банкрутства. У сучасній науковій літературі більшою мірою висвітлені питання </w:t>
      </w:r>
      <w:r w:rsidRPr="00A240B2">
        <w:rPr>
          <w:rFonts w:cs="TimesNewRoman"/>
          <w:color w:val="auto"/>
          <w:szCs w:val="28"/>
          <w:lang w:val="uk-UA"/>
        </w:rPr>
        <w:t>антикризового управління підприємствами і організаціями в нестабільних соціально-економічних умовах, але залишаються поза увагою методи впровадження контрольованого розвитку підприємств в умовах сталого економічного розвитку держави.</w:t>
      </w:r>
    </w:p>
    <w:p w:rsidR="00587DC9" w:rsidRPr="00A240B2" w:rsidRDefault="008C083E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br w:type="page"/>
      </w:r>
      <w:bookmarkStart w:id="1" w:name="_Toc229126174"/>
      <w:r w:rsidR="00587DC9" w:rsidRPr="00A240B2">
        <w:rPr>
          <w:color w:val="auto"/>
          <w:sz w:val="28"/>
          <w:lang w:val="uk-UA"/>
        </w:rPr>
        <w:t>Розділ 1. Теоретичні аспекти аналізу банкрутства підприємства</w:t>
      </w:r>
      <w:bookmarkEnd w:id="1"/>
    </w:p>
    <w:p w:rsidR="00A240B2" w:rsidRPr="00A240B2" w:rsidRDefault="00A240B2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bookmarkStart w:id="2" w:name="_Toc229126175"/>
    </w:p>
    <w:p w:rsidR="00587DC9" w:rsidRPr="00A240B2" w:rsidRDefault="00587DC9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r w:rsidRPr="00A240B2">
        <w:rPr>
          <w:color w:val="auto"/>
          <w:lang w:val="uk-UA"/>
        </w:rPr>
        <w:t>1.1 Сутність та характеристика процесу банкрутства</w:t>
      </w:r>
      <w:bookmarkEnd w:id="2"/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Існування соціально-економічних систем являє собою циклічний процес, для якого характерна закономірність появи та вирішення криз. Економіка ніколи не знаходиться у стані спокою. Особливо це стосується країн із перехідною економікою, якою є Україна.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 xml:space="preserve">Поняття </w:t>
      </w:r>
      <w:r w:rsidR="009D50E8">
        <w:rPr>
          <w:color w:val="auto"/>
          <w:szCs w:val="28"/>
          <w:lang w:val="uk-UA"/>
        </w:rPr>
        <w:t>«криза»</w:t>
      </w:r>
      <w:r w:rsidRPr="00A240B2">
        <w:rPr>
          <w:color w:val="auto"/>
          <w:szCs w:val="28"/>
          <w:lang w:val="uk-UA"/>
        </w:rPr>
        <w:t xml:space="preserve"> – одне з найбільш складних, яке має багато змістових відтінків інтерпретацій та сутнісних характеристик. Даний термін походить від грецького </w:t>
      </w:r>
      <w:r w:rsidRPr="00A240B2">
        <w:rPr>
          <w:i/>
          <w:color w:val="auto"/>
          <w:szCs w:val="28"/>
          <w:lang w:val="uk-UA"/>
        </w:rPr>
        <w:t>krisis</w:t>
      </w:r>
      <w:r w:rsidRPr="00A240B2">
        <w:rPr>
          <w:color w:val="auto"/>
          <w:szCs w:val="28"/>
          <w:lang w:val="uk-UA"/>
        </w:rPr>
        <w:t xml:space="preserve"> – різкий перелом, тяжкий перехідний стан, крайня точка падіння, гостра нестача, невідповідність [37, с. 11]. У китайській мові слово </w:t>
      </w:r>
      <w:r w:rsidR="009D50E8">
        <w:rPr>
          <w:color w:val="auto"/>
          <w:szCs w:val="28"/>
          <w:lang w:val="uk-UA"/>
        </w:rPr>
        <w:t>«криза»</w:t>
      </w:r>
      <w:r w:rsidRPr="00A240B2">
        <w:rPr>
          <w:color w:val="auto"/>
          <w:szCs w:val="28"/>
          <w:lang w:val="uk-UA"/>
        </w:rPr>
        <w:t xml:space="preserve">вимовляється </w:t>
      </w:r>
      <w:r w:rsidR="009D50E8">
        <w:rPr>
          <w:color w:val="auto"/>
          <w:szCs w:val="28"/>
          <w:lang w:val="uk-UA"/>
        </w:rPr>
        <w:t>«вейцзи»</w:t>
      </w:r>
      <w:r w:rsidRPr="00A240B2">
        <w:rPr>
          <w:color w:val="auto"/>
          <w:szCs w:val="28"/>
          <w:lang w:val="uk-UA"/>
        </w:rPr>
        <w:t xml:space="preserve">. Слово </w:t>
      </w:r>
      <w:r w:rsidR="009D50E8">
        <w:rPr>
          <w:color w:val="auto"/>
          <w:szCs w:val="28"/>
          <w:lang w:val="uk-UA"/>
        </w:rPr>
        <w:t>«вей»</w:t>
      </w:r>
      <w:r w:rsidRPr="00A240B2">
        <w:rPr>
          <w:color w:val="auto"/>
          <w:szCs w:val="28"/>
          <w:lang w:val="uk-UA"/>
        </w:rPr>
        <w:t xml:space="preserve"> означає </w:t>
      </w:r>
      <w:r w:rsidR="009D50E8">
        <w:rPr>
          <w:color w:val="auto"/>
          <w:szCs w:val="28"/>
          <w:lang w:val="uk-UA"/>
        </w:rPr>
        <w:t>«небезпека»</w:t>
      </w:r>
      <w:r w:rsidRPr="00A240B2">
        <w:rPr>
          <w:color w:val="auto"/>
          <w:szCs w:val="28"/>
          <w:lang w:val="uk-UA"/>
        </w:rPr>
        <w:t xml:space="preserve">, </w:t>
      </w:r>
      <w:r w:rsidR="009D50E8">
        <w:rPr>
          <w:color w:val="auto"/>
          <w:szCs w:val="28"/>
          <w:lang w:val="uk-UA"/>
        </w:rPr>
        <w:t>«страх»</w:t>
      </w:r>
      <w:r w:rsidRPr="00A240B2">
        <w:rPr>
          <w:color w:val="auto"/>
          <w:szCs w:val="28"/>
          <w:lang w:val="uk-UA"/>
        </w:rPr>
        <w:t xml:space="preserve">, а слово </w:t>
      </w:r>
      <w:r w:rsidR="009D50E8">
        <w:rPr>
          <w:color w:val="auto"/>
          <w:szCs w:val="28"/>
          <w:lang w:val="uk-UA"/>
        </w:rPr>
        <w:t>«цзи»</w:t>
      </w:r>
      <w:r w:rsidRPr="00A240B2">
        <w:rPr>
          <w:color w:val="auto"/>
          <w:szCs w:val="28"/>
          <w:lang w:val="uk-UA"/>
        </w:rPr>
        <w:t xml:space="preserve"> – </w:t>
      </w:r>
      <w:r w:rsidR="009D50E8">
        <w:rPr>
          <w:color w:val="auto"/>
          <w:szCs w:val="28"/>
          <w:lang w:val="uk-UA"/>
        </w:rPr>
        <w:t>«можливість»</w:t>
      </w:r>
      <w:r w:rsidRPr="00A240B2">
        <w:rPr>
          <w:color w:val="auto"/>
          <w:szCs w:val="28"/>
          <w:lang w:val="uk-UA"/>
        </w:rPr>
        <w:t xml:space="preserve">, </w:t>
      </w:r>
      <w:r w:rsidR="009D50E8">
        <w:rPr>
          <w:color w:val="auto"/>
          <w:szCs w:val="28"/>
          <w:lang w:val="uk-UA"/>
        </w:rPr>
        <w:t>«переломний момент»</w:t>
      </w:r>
      <w:r w:rsidRPr="00A240B2">
        <w:rPr>
          <w:color w:val="auto"/>
          <w:szCs w:val="28"/>
          <w:lang w:val="uk-UA"/>
        </w:rPr>
        <w:t xml:space="preserve">. Із цього можна зрозуміти, що в будь-якій кризовій ситуації існує не тільки </w:t>
      </w:r>
      <w:r w:rsidR="009D50E8">
        <w:rPr>
          <w:color w:val="auto"/>
          <w:szCs w:val="28"/>
          <w:lang w:val="uk-UA"/>
        </w:rPr>
        <w:t>«небезпека», а й «можливість»</w:t>
      </w:r>
      <w:r w:rsidRPr="00A240B2">
        <w:rPr>
          <w:color w:val="auto"/>
          <w:szCs w:val="28"/>
          <w:lang w:val="uk-UA"/>
        </w:rPr>
        <w:t>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 xml:space="preserve">В економіці термін </w:t>
      </w:r>
      <w:r w:rsidR="009D50E8">
        <w:rPr>
          <w:color w:val="auto"/>
          <w:szCs w:val="28"/>
          <w:lang w:val="uk-UA"/>
        </w:rPr>
        <w:t>«криза»</w:t>
      </w:r>
      <w:r w:rsidRPr="00A240B2">
        <w:rPr>
          <w:color w:val="auto"/>
          <w:szCs w:val="28"/>
          <w:lang w:val="uk-UA"/>
        </w:rPr>
        <w:t xml:space="preserve"> набув поширення та визнання насамперед у зв’язку з розробкою концепції циклічності розвитку економічних систем, яка належить до фундаментальних складових категоріального апарату економічної теорії. Без перебільшення можна констатувати, що проблема циклічності фокусує у собі усе різноманіття господарських, соціальних, політичних та психологічних проблем будь-якої економічної системи, стверджується у праці Лігоненко Л.О. [37, с. 11-12]. Циклічність у розвитку криз досліджується також у роботі Короткової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Є.М.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[14,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28].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Обновлення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технологічної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перевиробництва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провокують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циклічності,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національного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зайнятості,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понижаються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спаду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після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починається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пожвавлення.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провокують.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Сучасна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системологія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(наука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стверджує,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будь-яка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(життєдіяльності)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знаходитись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стійкому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нестійкому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становищі.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зустрічається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оскільки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саме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перехідних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спонукають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життєдіяльності,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перехідних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процесів.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перебігу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характеристик,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дозволяє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поняття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„цикл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підприємства”.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поняття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розглядається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послідовного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проходження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розвитку:</w:t>
      </w:r>
    </w:p>
    <w:p w:rsidR="003D0B02" w:rsidRPr="00A240B2" w:rsidRDefault="003D0B02" w:rsidP="00A240B2">
      <w:pPr>
        <w:keepNext/>
        <w:widowControl w:val="0"/>
        <w:numPr>
          <w:ilvl w:val="0"/>
          <w:numId w:val="2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стадія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підйому;</w:t>
      </w:r>
    </w:p>
    <w:p w:rsidR="003D0B02" w:rsidRPr="00A240B2" w:rsidRDefault="003D0B02" w:rsidP="00A240B2">
      <w:pPr>
        <w:keepNext/>
        <w:widowControl w:val="0"/>
        <w:numPr>
          <w:ilvl w:val="0"/>
          <w:numId w:val="2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стадія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гальмування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розвитку;</w:t>
      </w:r>
    </w:p>
    <w:p w:rsidR="003D0B02" w:rsidRPr="00A240B2" w:rsidRDefault="003D0B02" w:rsidP="00A240B2">
      <w:pPr>
        <w:keepNext/>
        <w:widowControl w:val="0"/>
        <w:numPr>
          <w:ilvl w:val="0"/>
          <w:numId w:val="2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стадія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кризи;</w:t>
      </w:r>
    </w:p>
    <w:p w:rsidR="003D0B02" w:rsidRPr="00A240B2" w:rsidRDefault="003D0B02" w:rsidP="00A240B2">
      <w:pPr>
        <w:keepNext/>
        <w:widowControl w:val="0"/>
        <w:numPr>
          <w:ilvl w:val="0"/>
          <w:numId w:val="2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стадія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пожвавлення;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Розвиток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подолання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шляхом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корегування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[37,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13-14].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Теорії,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пояснюють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циклічність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зводяться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двох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груп: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внутрішні.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Зовнішні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теорії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пояснюють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факторів: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війн,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подій,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відкритті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родовищ,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демографічної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наукових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відкриттів,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нововведень,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спалахами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сонячної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активності.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Внутрішні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теорії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звертають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увагу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всередині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мікроекономічної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правило,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раптово,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прояви.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роботі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вченої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Довбні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С.Б.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[27,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93]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поділяються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відносить: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нестабільність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недосконалість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оподаткування,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нестабільність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недостатній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кредитно-фінансової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інструментів,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посилення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монополізму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Внутрішні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групу.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належать: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зношені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застарілі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технології,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невисока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неприйнятні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неадекватні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низький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кваліфікації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персоналу,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недієві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мотивації,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протиріччя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менеджерів,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неправильна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цінова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відсутність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збуту,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інновацій,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неефективна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інвестиційна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недостача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думку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доктора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наук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[37,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приховані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особливостях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постійною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орієнтацій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споживачів,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невизначеністю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поведінки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контрагентів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постійного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коригування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елементів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функціональних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підсистем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самого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Більшість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зокрема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Василенко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В.О.,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Чернявський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А.Д.,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погоджуються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думкою,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надзвичайне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загострення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соціально-економічній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(організації),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загрожую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життєздатності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розуміти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усунення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напруги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нерівноваги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ній.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найважливіші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закономірності,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виробництва,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перспективи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моментом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загострення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суперечностей,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взаємодії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елементів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мікроекономічної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оточенням.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суперечності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між:</w:t>
      </w:r>
    </w:p>
    <w:p w:rsidR="003D0B02" w:rsidRPr="00A240B2" w:rsidRDefault="003D0B02" w:rsidP="00A240B2">
      <w:pPr>
        <w:keepNext/>
        <w:widowControl w:val="0"/>
        <w:numPr>
          <w:ilvl w:val="0"/>
          <w:numId w:val="33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кількісними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характеристиками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(товарів,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послуг)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характеристиками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попиту;</w:t>
      </w:r>
    </w:p>
    <w:p w:rsidR="003D0B02" w:rsidRPr="00A240B2" w:rsidRDefault="003D0B02" w:rsidP="00A240B2">
      <w:pPr>
        <w:keepNext/>
        <w:widowControl w:val="0"/>
        <w:numPr>
          <w:ilvl w:val="0"/>
          <w:numId w:val="33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можливою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потужністю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підприємства;</w:t>
      </w:r>
    </w:p>
    <w:p w:rsidR="003D0B02" w:rsidRPr="00A240B2" w:rsidRDefault="003D0B02" w:rsidP="00A240B2">
      <w:pPr>
        <w:keepNext/>
        <w:widowControl w:val="0"/>
        <w:numPr>
          <w:ilvl w:val="0"/>
          <w:numId w:val="33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необхідним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обсягом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споживає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пропозиції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попиту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них;</w:t>
      </w:r>
    </w:p>
    <w:p w:rsidR="003D0B02" w:rsidRPr="00A240B2" w:rsidRDefault="003D0B02" w:rsidP="00A240B2">
      <w:pPr>
        <w:keepNext/>
        <w:widowControl w:val="0"/>
        <w:numPr>
          <w:ilvl w:val="0"/>
          <w:numId w:val="33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ринковою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обсягом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витрат,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компенсовані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доходу;</w:t>
      </w:r>
    </w:p>
    <w:p w:rsidR="003D0B02" w:rsidRPr="00A240B2" w:rsidRDefault="003D0B02" w:rsidP="00A240B2">
      <w:pPr>
        <w:keepNext/>
        <w:widowControl w:val="0"/>
        <w:numPr>
          <w:ilvl w:val="0"/>
          <w:numId w:val="33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фактичним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плановим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розподілом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розвиток.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Практика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різняться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характеристиками.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класифікації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пов’язана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диференціацією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зрозумілий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з’являються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гостроти,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скорочення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безпечності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протікання.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Типологія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включає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групи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психологічних,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демографічних,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екологічних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уявити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ланцюг,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ланки,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тобто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тягне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вважає.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шукати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сфері,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відносин.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Економічні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відображають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гострі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протиріччя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перевиробництва,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падіння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неплатежів,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переваг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скорочення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промислового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виробництва,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потужностей,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інфляції,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ВВП.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життєздатність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характеризуються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гострими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протиріччями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легітимності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влади,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влади,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загострення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конфліктів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Організація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оточенні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загостренні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зіткненні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груп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населення,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безробіттю,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погіршенню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криміногенної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обстановки.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устрою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соціально-економічної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загострюватися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відносини,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пов’язані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побудовою,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розподілом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підрозділами.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конфлікти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підрозділами,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менеджерами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безвідповідальність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втрата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рядом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одиниць.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суспільстві,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виділяють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екологічні,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психологічні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перебіг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переоцінити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успішної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соціально-економічної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інститутах.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розділяти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областях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небезпечними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Доктор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політології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Норберт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[49,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69]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криз:</w:t>
      </w:r>
    </w:p>
    <w:p w:rsidR="003D0B02" w:rsidRPr="00A240B2" w:rsidRDefault="003D0B02" w:rsidP="00A240B2">
      <w:pPr>
        <w:keepNext/>
        <w:widowControl w:val="0"/>
        <w:numPr>
          <w:ilvl w:val="0"/>
          <w:numId w:val="2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ліквідності;</w:t>
      </w:r>
    </w:p>
    <w:p w:rsidR="003D0B02" w:rsidRPr="00A240B2" w:rsidRDefault="003D0B02" w:rsidP="00A240B2">
      <w:pPr>
        <w:keepNext/>
        <w:widowControl w:val="0"/>
        <w:numPr>
          <w:ilvl w:val="0"/>
          <w:numId w:val="2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успіху;</w:t>
      </w:r>
    </w:p>
    <w:p w:rsidR="003D0B02" w:rsidRPr="00A240B2" w:rsidRDefault="003D0B02" w:rsidP="00A240B2">
      <w:pPr>
        <w:keepNext/>
        <w:widowControl w:val="0"/>
        <w:numPr>
          <w:ilvl w:val="0"/>
          <w:numId w:val="2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негайні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інакше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змушене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успіху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відхиленням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фактичного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запланованого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(наприклад,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затрат).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помилки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дослідженні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капіталовкладеннях,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кадровій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політиці.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(ситуація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успіху)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здаватися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задовільним,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діагностувати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послаблюються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боротьбі.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бажаними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ліквідований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шляхом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орієнтації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(наприклад,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інновації).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правило,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багато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класифікація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міститься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роботі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[37,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21-26].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проблематики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технічні,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технологічні,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психологічні,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кадрові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параметром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класифікує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Явдошина.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класифікація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розглянута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вище.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2.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масштабу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розрізняють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поняття:</w:t>
      </w:r>
    </w:p>
    <w:p w:rsidR="003D0B02" w:rsidRPr="00A240B2" w:rsidRDefault="003D0B02" w:rsidP="00A240B2">
      <w:pPr>
        <w:keepNext/>
        <w:widowControl w:val="0"/>
        <w:numPr>
          <w:ilvl w:val="0"/>
          <w:numId w:val="28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кризове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погіршення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локальний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несуттєвий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діяльності;</w:t>
      </w:r>
    </w:p>
    <w:p w:rsidR="003D0B02" w:rsidRPr="00A240B2" w:rsidRDefault="003D0B02" w:rsidP="00A240B2">
      <w:pPr>
        <w:keepNext/>
        <w:widowControl w:val="0"/>
        <w:numPr>
          <w:ilvl w:val="0"/>
          <w:numId w:val="28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локальна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сукупність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автономну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сферу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прояву,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підсистемі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суттєвий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цілому;</w:t>
      </w:r>
    </w:p>
    <w:p w:rsidR="003D0B02" w:rsidRPr="00A240B2" w:rsidRDefault="003D0B02" w:rsidP="00A240B2">
      <w:pPr>
        <w:keepNext/>
        <w:widowControl w:val="0"/>
        <w:numPr>
          <w:ilvl w:val="0"/>
          <w:numId w:val="28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системна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критична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сукупність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сфер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прояву,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приводить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недоотримання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параметрів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3.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причин:</w:t>
      </w:r>
    </w:p>
    <w:p w:rsidR="003D0B02" w:rsidRPr="00A240B2" w:rsidRDefault="003D0B02" w:rsidP="00A240B2">
      <w:pPr>
        <w:keepNext/>
        <w:widowControl w:val="0"/>
        <w:numPr>
          <w:ilvl w:val="0"/>
          <w:numId w:val="29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зовнішня;</w:t>
      </w:r>
    </w:p>
    <w:p w:rsidR="003D0B02" w:rsidRPr="00A240B2" w:rsidRDefault="003D0B02" w:rsidP="00A240B2">
      <w:pPr>
        <w:keepNext/>
        <w:widowControl w:val="0"/>
        <w:numPr>
          <w:ilvl w:val="0"/>
          <w:numId w:val="29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внутрішня.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4.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наслідків:</w:t>
      </w:r>
    </w:p>
    <w:p w:rsidR="003D0B02" w:rsidRPr="00A240B2" w:rsidRDefault="003D0B02" w:rsidP="00A240B2">
      <w:pPr>
        <w:keepNext/>
        <w:widowControl w:val="0"/>
        <w:numPr>
          <w:ilvl w:val="0"/>
          <w:numId w:val="30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руйнівна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ліквідацією,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втрата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конкурентноздатності,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потенціалу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розвитку);</w:t>
      </w:r>
    </w:p>
    <w:p w:rsidR="003D0B02" w:rsidRPr="00A240B2" w:rsidRDefault="003D0B02" w:rsidP="00A240B2">
      <w:pPr>
        <w:keepNext/>
        <w:widowControl w:val="0"/>
        <w:numPr>
          <w:ilvl w:val="0"/>
          <w:numId w:val="30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оздоровча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конкурентноздатності,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потенціалу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Різновидом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оздоровчої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ініційована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провокується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пошуку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імпульсів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5.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проходження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виділяють:</w:t>
      </w:r>
    </w:p>
    <w:p w:rsidR="003D0B02" w:rsidRPr="00A240B2" w:rsidRDefault="003D0B02" w:rsidP="00A240B2">
      <w:pPr>
        <w:keepNext/>
        <w:widowControl w:val="0"/>
        <w:numPr>
          <w:ilvl w:val="0"/>
          <w:numId w:val="3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короткострокова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1-х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років);</w:t>
      </w:r>
    </w:p>
    <w:p w:rsidR="003D0B02" w:rsidRPr="00A240B2" w:rsidRDefault="003D0B02" w:rsidP="00A240B2">
      <w:pPr>
        <w:keepNext/>
        <w:widowControl w:val="0"/>
        <w:numPr>
          <w:ilvl w:val="0"/>
          <w:numId w:val="3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затяжна,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чергу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середньою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3-х)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3-х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років).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6.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прояву: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прихована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(латентна)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очевидна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(явна)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спостерігачами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реєструється,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оскільки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відсутній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поглиблення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погіршуються,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поступово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очевидним.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Українська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дослідниця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виокремлює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сутнісні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[37,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20-21]: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віддзеркалює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накопичені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потребують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явище),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тривалістю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межі.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об’єктивним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управлінських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підсистем.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Основною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суттєве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втрата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життєздатного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параметрів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життєздатності.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Подолання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життєздатності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пов’язується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параметрів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(або)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управлінських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дій.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стадіях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виступати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гальмо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виконувати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ініціації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передчасного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старіння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кожній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життєвого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протікання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подолання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криз.</w:t>
      </w:r>
    </w:p>
    <w:p w:rsidR="003D0B02" w:rsidRPr="00A240B2" w:rsidRDefault="003D0B02" w:rsidP="00A240B2">
      <w:pPr>
        <w:keepNext/>
        <w:widowControl w:val="0"/>
        <w:numPr>
          <w:ilvl w:val="0"/>
          <w:numId w:val="3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носить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циклічний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циклічність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індивідуальною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характеристикою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синхронізована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циклами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мезо-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(галузь,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макрооточення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(національна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світова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економіка)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провокується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ними.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обумовлює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ризики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проходження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(подолання)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накопичених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протиріч,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призупинення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банкротства,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добровільна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примусова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різноманітні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поштовхом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важливо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розуміти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використовувати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практиці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весь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інструментарій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недоліків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найосновніших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навколишньому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перспективі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Отже,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є:</w:t>
      </w:r>
    </w:p>
    <w:p w:rsidR="003D0B02" w:rsidRPr="00A240B2" w:rsidRDefault="003D0B02" w:rsidP="00A240B2">
      <w:pPr>
        <w:keepNext/>
        <w:widowControl w:val="0"/>
        <w:numPr>
          <w:ilvl w:val="0"/>
          <w:numId w:val="3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циклічність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систем;</w:t>
      </w:r>
    </w:p>
    <w:p w:rsidR="003D0B02" w:rsidRPr="00A240B2" w:rsidRDefault="003D0B02" w:rsidP="00A240B2">
      <w:pPr>
        <w:keepNext/>
        <w:widowControl w:val="0"/>
        <w:numPr>
          <w:ilvl w:val="0"/>
          <w:numId w:val="3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політичну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нестабільність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державі;</w:t>
      </w:r>
    </w:p>
    <w:p w:rsidR="003D0B02" w:rsidRPr="00A240B2" w:rsidRDefault="003D0B02" w:rsidP="00A240B2">
      <w:pPr>
        <w:keepNext/>
        <w:widowControl w:val="0"/>
        <w:numPr>
          <w:ilvl w:val="0"/>
          <w:numId w:val="3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посилення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конкуренції;</w:t>
      </w:r>
    </w:p>
    <w:p w:rsidR="003D0B02" w:rsidRPr="00A240B2" w:rsidRDefault="003D0B02" w:rsidP="00A240B2">
      <w:pPr>
        <w:keepNext/>
        <w:widowControl w:val="0"/>
        <w:numPr>
          <w:ilvl w:val="0"/>
          <w:numId w:val="3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неприйнятні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неадекватні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підстав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крайня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кризового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Україні» </w:t>
      </w:r>
      <w:r w:rsidRPr="00A240B2">
        <w:rPr>
          <w:sz w:val="28"/>
          <w:szCs w:val="28"/>
          <w:lang w:val="uk-UA"/>
        </w:rPr>
        <w:t>(ст.ст.24,34).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умови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будь-яких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осіб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метою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претензій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спеціальний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14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травня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банкрутство» </w:t>
      </w:r>
      <w:r w:rsidRPr="00A240B2">
        <w:rPr>
          <w:sz w:val="28"/>
          <w:szCs w:val="28"/>
          <w:lang w:val="uk-UA"/>
        </w:rPr>
        <w:t>(Відомості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Верховної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№31.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440).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законодавством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організацію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регулюється,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урахуванням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банківську</w:t>
      </w:r>
      <w:r w:rsidR="009D50E8">
        <w:rPr>
          <w:sz w:val="28"/>
          <w:szCs w:val="28"/>
          <w:lang w:val="uk-UA"/>
        </w:rPr>
        <w:t xml:space="preserve"> діяльність»</w:t>
      </w:r>
      <w:r w:rsidRPr="00A240B2">
        <w:rPr>
          <w:sz w:val="28"/>
          <w:szCs w:val="28"/>
          <w:lang w:val="uk-UA"/>
        </w:rPr>
        <w:t>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Такі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основні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законодавчі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містить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банкрутство»</w:t>
      </w:r>
      <w:r w:rsidRPr="00A240B2">
        <w:rPr>
          <w:sz w:val="28"/>
          <w:szCs w:val="28"/>
          <w:lang w:val="uk-UA"/>
        </w:rPr>
        <w:t>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пов'язана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недостатністю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ліквідній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задовольнити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установлений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пред'явлені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зобов'язання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бюджетом.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наведеного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випливає,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характер.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точки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продовження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своєї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внаслідок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нерентабельності,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безприбутковості.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стільки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боргів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зобов'язань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пред'явлені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визначені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ліквідній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вистачить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задоволення.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Юридичним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аспект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полягає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насамперед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тому,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тобто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документовані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правовідносини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встановленому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призвести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підприємництва.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Внаслідок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виникає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комплекс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процесуальних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правовідносин: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претензій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припинення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тощо.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Сукупність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процесуальних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правовідносин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розглядатися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підприємництва.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Суб’єктами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лише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Pr="00A240B2">
        <w:rPr>
          <w:sz w:val="28"/>
          <w:szCs w:val="28"/>
          <w:lang w:val="uk-UA"/>
        </w:rPr>
        <w:br/>
        <w:t>осіб,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причому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осіб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однієї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категорії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підприємництва,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своєчасно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зобов'язання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бюджетом.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чином,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йде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насамперед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видів,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визначених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статтею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"Про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Україні",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об'єднання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згідно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статтею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3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вони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здійснюють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діяльність.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Зазначені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пойменовані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банкрутство» </w:t>
      </w:r>
      <w:r w:rsidRPr="00A240B2">
        <w:rPr>
          <w:sz w:val="28"/>
          <w:szCs w:val="28"/>
          <w:lang w:val="uk-UA"/>
        </w:rPr>
        <w:t>боржниками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Боржником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відповідний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вважається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стадіях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прийме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Закон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банкрутство»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поширюється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осіб,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займаються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згідно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статутами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(положеннями)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систематичною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діяльністю.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виступають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громадяни,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підтверджені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належними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документами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входять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забезпечені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заставою.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Якщо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останні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повинні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створювати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десяти,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створення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обов'язковим.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Повноваження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визначають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необхідні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участі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тим,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щоб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окремі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численні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спільний,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об'єднаний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недавнього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відомі.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Лише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період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реформування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планового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розподілу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використання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грошових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ресурсів)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відчутними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явища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нерентабельність,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неплатоспроможність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Характерними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ознаками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кризи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скорочення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попиту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продукцію,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наслідок,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зниження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обсягів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виробництва;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зростання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заборгованості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постачальникам,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держбюджету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банкам;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затримки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виплатою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заробітної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працівникам.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неухильно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зростає.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Причому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тенденції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поширюються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лише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окремих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господарювання,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цілі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галузі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(наприклад,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сільське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впродовж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багатьох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перебуває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глибокій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кризі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понад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85%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господарюючих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закінчують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щорічно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збитками;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промисловості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збитковим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кожне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друге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підприємство).</w:t>
      </w:r>
      <w:r w:rsidR="009D50E8">
        <w:rPr>
          <w:sz w:val="28"/>
          <w:szCs w:val="28"/>
          <w:lang w:val="uk-UA"/>
        </w:rPr>
        <w:t xml:space="preserve"> 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Крім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приватизації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призвів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корінної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зміни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принципів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управління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зачепив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основи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існування.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ході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приватизації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втратила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роль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адміністратора,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акціонерам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(новим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господарям)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виконавчому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управління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правлінню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чолі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головою.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Саме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опинилося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агресивному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ринковому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середовищі.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вчорашні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дружні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колеги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галузі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перетворилися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підступних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конкурентів,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утворений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хлинула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якісна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часто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дешева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продукції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іноземних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виробників.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суті,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багатьох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наслідок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приватизації,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з’явився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реальний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зацікавлений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розвитку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стабільній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роботі.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далеко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перелік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проблем,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багатьох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українських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причиною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ліквідації.</w:t>
      </w:r>
      <w:r w:rsidR="009D50E8">
        <w:rPr>
          <w:sz w:val="28"/>
          <w:szCs w:val="28"/>
          <w:lang w:val="uk-UA"/>
        </w:rPr>
        <w:t xml:space="preserve"> 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цілому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фактори,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передумовою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згрупувати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зовнішні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відношенню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(економічні,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політичні,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демографічні,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посилення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міжнародної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конкуренції,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НТП,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боржників),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воно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можливості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впливати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вплив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дуже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слабкий,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внутрішні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(зростання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дебіторської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заборгованості,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дефіцит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оборотних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коштів,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неефективність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вкладень,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відсутність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договірної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дисципліни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тощо),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безпосередньо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залежать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організації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роботи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самому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наслідком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одночасного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впливу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факторів.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Втім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розвинутих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ринковою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економікою,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стійкими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політичною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системами,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звичайно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1/3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зумовлені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зовнішніми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факторами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2/3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внутрішніми.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Щоб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господарюючих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завдавали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найменшої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шкоди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повинна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активно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регулюючу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роль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формуванні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необхідно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відповідну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зважену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законодавчу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базу.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законодавчих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значне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належить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ЗУ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власність»</w:t>
      </w:r>
      <w:r w:rsidRPr="00A240B2">
        <w:rPr>
          <w:sz w:val="28"/>
          <w:szCs w:val="28"/>
          <w:lang w:val="uk-UA"/>
        </w:rPr>
        <w:t>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Земельному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кодексу,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ЗУ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підприємств»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блоку,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чекають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ВРУ.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Нажаль,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ЗУ</w:t>
      </w:r>
      <w:r w:rsidR="009D50E8">
        <w:rPr>
          <w:sz w:val="28"/>
          <w:szCs w:val="28"/>
          <w:lang w:val="uk-UA"/>
        </w:rPr>
        <w:t xml:space="preserve"> «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банкрутство»</w:t>
      </w:r>
      <w:r w:rsidRPr="00A240B2">
        <w:rPr>
          <w:sz w:val="28"/>
          <w:szCs w:val="28"/>
          <w:lang w:val="uk-UA"/>
        </w:rPr>
        <w:t>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травні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відповідав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ряд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істотних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недоліків.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Головний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спрямованість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поліпшення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ліквідацію.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Зокрема,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причини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рішення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неплатоспроможність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загрозу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виникнення,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достатньо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інформацію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фінансово </w:t>
      </w:r>
      <w:r w:rsidRPr="00A240B2">
        <w:rPr>
          <w:sz w:val="28"/>
          <w:szCs w:val="28"/>
          <w:lang w:val="uk-UA"/>
        </w:rPr>
        <w:t>майнового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Розгляд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затягувався,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зазвичай,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(Закон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регламентував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граничні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підприємства-банкрута),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наслідок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свідчить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досвід,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нерідко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опинявся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становищі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Адже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найчастіше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виявлялося,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відшкодувати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втрати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нічим,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оскільки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основні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фонди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фізично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морально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зношені,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обігових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коштів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немає,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доходи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реалізації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мізерні.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результаті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недосконалості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повернення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боргів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неплатоспроможними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відсутності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чіткості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укладання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мирової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умов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прощення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безнадійної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стягнення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кредиторської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заборгованості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взаємовідносинах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відбулося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різке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збільшення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позовних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1996-99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зросла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рази,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винесених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3,7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рази.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Через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основний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недолік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обмеженість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реорганізаційних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комісії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вимушені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рішення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Відтак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завершених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затвердженням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балансу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зросла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1996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99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5,1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разів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кінець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1999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70%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припинених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затвердженням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умов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зменшилося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64%.</w:t>
      </w:r>
      <w:r w:rsidR="009D50E8">
        <w:rPr>
          <w:sz w:val="28"/>
          <w:szCs w:val="28"/>
          <w:lang w:val="uk-UA"/>
        </w:rPr>
        <w:t xml:space="preserve"> 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Отже,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бачимо,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покликаний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впорядковувати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механізму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реформування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структурної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перебудови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української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перетворився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додатковий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фактор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руйнації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комплексу.</w:t>
      </w:r>
      <w:r w:rsidR="009D50E8">
        <w:rPr>
          <w:sz w:val="28"/>
          <w:szCs w:val="28"/>
          <w:lang w:val="uk-UA"/>
        </w:rPr>
        <w:t xml:space="preserve"> 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Але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ключових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елементів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інститут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розвиненої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системи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громадянського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торговельного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механізм,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можливість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уникнути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катастрофи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вигідно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розпорядитися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засобами.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Ситуація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типовою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лише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розвиваються,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будь-якої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розвинутих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Зокрема,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Євросоюзу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щороку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банкрутує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значна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підприємців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кожних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100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новостворених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залишаються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20-30.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США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1998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збанкрутувало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близько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півмільйона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понад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тисяч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фізичних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осіб.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незважаючи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частини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фірм,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європейських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розвивається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передбачуваними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темпами,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пояснюється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тим,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використовуються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першу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чергу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оздоровлення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умови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створені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“Про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банкрутом”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30.06.99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№784-XIV,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набрав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чинність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січня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2000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сільськогосподарських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товаровиробників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січня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2004р.).</w:t>
      </w:r>
      <w:r w:rsidR="009D50E8">
        <w:rPr>
          <w:sz w:val="28"/>
          <w:szCs w:val="28"/>
          <w:lang w:val="uk-UA"/>
        </w:rPr>
        <w:t xml:space="preserve"> 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моменту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виникнення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ніколи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милосердні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середньовіччі,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наприклад,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гарантом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забезпечення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повернення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боргу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сама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боржника: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життя,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особиста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свобода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недоторканність.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Розвиток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капіталістичних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потребував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засобів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боротьби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явищем.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Поступово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цивільному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торговому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законодавстві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країн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запроваджено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норми,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спрямовані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тілесне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покарання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стягнення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метою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позовів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претензій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регулюються,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правило,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спеціальним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Закон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«Про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банкрутство»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повинен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основні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функції: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1.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Служити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механізмом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запобігання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непродуктивному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використанню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2.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інструментом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реабілітації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опинилися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межі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значні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резерви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успішної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фінансово-господарської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майбутньому.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правило,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реабілітація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реорганізацію.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3.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Сприяти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якнайповнішому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задоволенню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претензій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своєю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суттю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інституція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способів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відбору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(селекції)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суб'єктів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господарювання.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ринковій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нормальне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явище.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кожних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100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новостворених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залишається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20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США,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наприклад,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загальна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1997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році,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становила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близько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30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000,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Росії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2040.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спостерігається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стійка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тенденція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збільшення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(рис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1).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Щоправда,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лише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35-45%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позови,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оголошуються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банкрутами.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Близько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10-15%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позовів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стосуються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власності.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Проте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поширеною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думка,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перехідний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період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положення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«Про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банкрутом»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поблажливішими,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щоб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запобігти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лавині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Поширення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лояльного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підходу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сектор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приватизовані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вважається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доцільним,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оскільки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тут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криється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певна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небезпека.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підприємці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мірою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обмежені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дією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суттєво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постраждати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дисципліна.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чергу,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зменшить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довіру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знизить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темпи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розвитку.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Згідно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статтею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«Про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банкрутом»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розуміють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пов'язану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недостатністю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активів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ліквідній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задовольнити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установлений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пред'явлені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зобов'язання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бюджетом[1].</w:t>
      </w:r>
    </w:p>
    <w:p w:rsidR="003D0B02" w:rsidRPr="00A240B2" w:rsidRDefault="003D0B02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Підставою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письмова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будь-кого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податкової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служби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контрольно-ревізійної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служби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звернутися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заявою,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дебітор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задовольнити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протягом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одного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претензійні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звернутися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ініціативи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загрози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неспроможності.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додаються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список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бухгалтерський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баланс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інформація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майнове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становище.</w:t>
      </w:r>
    </w:p>
    <w:p w:rsidR="003D0B02" w:rsidRPr="00A240B2" w:rsidRDefault="003D0B02" w:rsidP="00A240B2">
      <w:pPr>
        <w:keepNext/>
        <w:widowControl w:val="0"/>
        <w:rPr>
          <w:color w:val="auto"/>
          <w:lang w:val="uk-UA"/>
        </w:rPr>
      </w:pPr>
    </w:p>
    <w:p w:rsidR="008C083E" w:rsidRPr="00A240B2" w:rsidRDefault="008C083E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bookmarkStart w:id="3" w:name="_Toc229126176"/>
      <w:r w:rsidRPr="00A240B2">
        <w:rPr>
          <w:color w:val="auto"/>
          <w:lang w:val="uk-UA"/>
        </w:rPr>
        <w:t>1.2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Передумови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потрапляння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банкрутства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нормативно-правова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база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регулювання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цього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процесу</w:t>
      </w:r>
      <w:bookmarkEnd w:id="3"/>
    </w:p>
    <w:p w:rsidR="008C083E" w:rsidRPr="00A240B2" w:rsidRDefault="008C083E" w:rsidP="00A240B2">
      <w:pPr>
        <w:keepNext/>
        <w:widowControl w:val="0"/>
        <w:rPr>
          <w:color w:val="auto"/>
          <w:lang w:val="uk-UA"/>
        </w:rPr>
      </w:pP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сьогодні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сформована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багаторівнева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безпосередньо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спрямована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27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березня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Кабінету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департамент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урядовий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Департамент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входить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Міністерства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підпорядковується.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Департамент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Конституцією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Президента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Кабінету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[11],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наказами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Мінекономіки.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Департамент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покладених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завдань:</w:t>
      </w:r>
      <w:bookmarkStart w:id="4" w:name="17"/>
      <w:bookmarkEnd w:id="4"/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сприяє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bookmarkStart w:id="5" w:name="18"/>
      <w:bookmarkEnd w:id="5"/>
      <w:r w:rsidRPr="00A240B2">
        <w:rPr>
          <w:color w:val="auto"/>
          <w:szCs w:val="28"/>
          <w:lang w:val="uk-UA"/>
        </w:rPr>
        <w:t>забезпечує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єдиної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(розпорядниками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ліквідаторами)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(далі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керуючі)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bookmarkStart w:id="6" w:name="19"/>
      <w:bookmarkEnd w:id="6"/>
      <w:r w:rsidRPr="00A240B2">
        <w:rPr>
          <w:color w:val="auto"/>
          <w:szCs w:val="28"/>
          <w:lang w:val="uk-UA"/>
        </w:rPr>
        <w:t>забезпечує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відсутнього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bookmarkStart w:id="7" w:name="20"/>
      <w:bookmarkEnd w:id="7"/>
      <w:r w:rsidRPr="00A240B2">
        <w:rPr>
          <w:color w:val="auto"/>
          <w:szCs w:val="28"/>
          <w:lang w:val="uk-UA"/>
        </w:rPr>
        <w:t>організовує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роботу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підготовки,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перепідготовки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кваліфікації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bookmarkStart w:id="8" w:name="21"/>
      <w:bookmarkEnd w:id="8"/>
      <w:r w:rsidRPr="00A240B2">
        <w:rPr>
          <w:color w:val="auto"/>
          <w:szCs w:val="28"/>
          <w:lang w:val="uk-UA"/>
        </w:rPr>
        <w:t>ліцензує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bookmarkStart w:id="9" w:name="22"/>
      <w:bookmarkEnd w:id="9"/>
      <w:r w:rsidRPr="00A240B2">
        <w:rPr>
          <w:color w:val="auto"/>
          <w:szCs w:val="28"/>
          <w:lang w:val="uk-UA"/>
        </w:rPr>
        <w:t>організовує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роботу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комісії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підготовки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пропозицій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кандидатур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утвореної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Мінекономіки;</w:t>
      </w:r>
    </w:p>
    <w:p w:rsidR="008C083E" w:rsidRPr="00A240B2" w:rsidRDefault="008C083E" w:rsidP="00A240B2">
      <w:pPr>
        <w:keepNext/>
        <w:widowControl w:val="0"/>
        <w:numPr>
          <w:ilvl w:val="0"/>
          <w:numId w:val="13"/>
        </w:numPr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виконує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законодавством.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bookmarkStart w:id="10" w:name="23"/>
      <w:bookmarkStart w:id="11" w:name="32"/>
      <w:bookmarkEnd w:id="10"/>
      <w:bookmarkEnd w:id="11"/>
      <w:r w:rsidRPr="00A240B2">
        <w:rPr>
          <w:color w:val="auto"/>
          <w:szCs w:val="28"/>
          <w:lang w:val="uk-UA"/>
        </w:rPr>
        <w:t>Департамент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покладених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завдань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утворювати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погодженням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Міністром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граничної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чисельності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працівників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Департаменту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територіальні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органи.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юридичних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підстав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Україні» </w:t>
      </w:r>
      <w:r w:rsidRPr="00A240B2">
        <w:rPr>
          <w:color w:val="auto"/>
          <w:szCs w:val="28"/>
          <w:lang w:val="uk-UA"/>
        </w:rPr>
        <w:t>(статті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34).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Порядок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підприємницької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задовольнити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претензії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спеціальний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банкрутство»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травня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1992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p.,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редакції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1999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називається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банкрутом»</w:t>
      </w:r>
      <w:r w:rsidRPr="00A240B2">
        <w:rPr>
          <w:color w:val="auto"/>
          <w:szCs w:val="28"/>
          <w:lang w:val="uk-UA"/>
        </w:rPr>
        <w:t>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порядок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підприємницької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застосування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задоволення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вимог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[25,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10].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запобігання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стосовно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статутному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двадцять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відсотків,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підприємницької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підставі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затвердженого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встановленому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порядку.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банкрутом» </w:t>
      </w:r>
      <w:r w:rsidRPr="00A240B2">
        <w:rPr>
          <w:color w:val="auto"/>
          <w:szCs w:val="28"/>
          <w:lang w:val="uk-UA"/>
        </w:rPr>
        <w:t>визначені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функції: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сприяє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2" w:name="44"/>
      <w:bookmarkEnd w:id="12"/>
      <w:r w:rsidRPr="00A240B2">
        <w:rPr>
          <w:color w:val="auto"/>
          <w:szCs w:val="28"/>
          <w:lang w:val="uk-UA"/>
        </w:rPr>
        <w:t>пропонує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кандидатури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(розпорядників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ліквідаторів)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статутному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двадцять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відсотків,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випадках;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3" w:name="45"/>
      <w:bookmarkEnd w:id="13"/>
      <w:r w:rsidRPr="00A240B2">
        <w:rPr>
          <w:color w:val="auto"/>
          <w:szCs w:val="28"/>
          <w:lang w:val="uk-UA"/>
        </w:rPr>
        <w:t>організовує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підготовки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(розпорядників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ліквідаторів);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4" w:name="46"/>
      <w:bookmarkEnd w:id="14"/>
      <w:r w:rsidRPr="00A240B2">
        <w:rPr>
          <w:color w:val="auto"/>
          <w:szCs w:val="28"/>
          <w:lang w:val="uk-UA"/>
        </w:rPr>
        <w:t>здійснює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ліцензування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фізичних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осіб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підприємницької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(розпорядники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ліквідатори);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5" w:name="47"/>
      <w:bookmarkEnd w:id="15"/>
      <w:r w:rsidRPr="00A240B2">
        <w:rPr>
          <w:color w:val="auto"/>
          <w:szCs w:val="28"/>
          <w:lang w:val="uk-UA"/>
        </w:rPr>
        <w:t>забезпечує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відсутнього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6" w:name="48"/>
      <w:bookmarkEnd w:id="16"/>
      <w:r w:rsidRPr="00A240B2">
        <w:rPr>
          <w:color w:val="auto"/>
          <w:szCs w:val="28"/>
          <w:lang w:val="uk-UA"/>
        </w:rPr>
        <w:t>здійснює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єдиної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затверджує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єдиної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7" w:name="49"/>
      <w:bookmarkEnd w:id="17"/>
      <w:r w:rsidRPr="00A240B2">
        <w:rPr>
          <w:color w:val="auto"/>
          <w:szCs w:val="28"/>
          <w:lang w:val="uk-UA"/>
        </w:rPr>
        <w:t>організовує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експертизи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статутному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двадцять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відсотків,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підготовці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експертизи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доручення;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8" w:name="50"/>
      <w:bookmarkEnd w:id="18"/>
      <w:r w:rsidRPr="00A240B2">
        <w:rPr>
          <w:color w:val="auto"/>
          <w:szCs w:val="28"/>
          <w:lang w:val="uk-UA"/>
        </w:rPr>
        <w:t>готує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прокуратури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уповноваженого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приховуваного,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фіктивного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статутному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двадцять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відсотків;</w:t>
      </w:r>
    </w:p>
    <w:p w:rsidR="008C083E" w:rsidRPr="00A240B2" w:rsidRDefault="008C083E" w:rsidP="00A240B2">
      <w:pPr>
        <w:keepNext/>
        <w:widowControl w:val="0"/>
        <w:numPr>
          <w:ilvl w:val="0"/>
          <w:numId w:val="14"/>
        </w:numPr>
        <w:shd w:val="clear" w:color="auto" w:fill="auto"/>
        <w:rPr>
          <w:color w:val="auto"/>
          <w:szCs w:val="28"/>
          <w:lang w:val="uk-UA"/>
        </w:rPr>
      </w:pPr>
      <w:bookmarkStart w:id="19" w:name="51"/>
      <w:bookmarkEnd w:id="19"/>
      <w:r w:rsidRPr="00A240B2">
        <w:rPr>
          <w:color w:val="auto"/>
          <w:szCs w:val="28"/>
          <w:lang w:val="uk-UA"/>
        </w:rPr>
        <w:t>готує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затвердження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Кабінету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встановленому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порядку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документи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Суб’єктами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(банкрутами)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чинний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фізичних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осіб,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зареєстрованих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Внаслідок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виникає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комплекс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процесуальних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правовідносин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щодо: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забезпечення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грошових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попереднього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санації,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відкриття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мирової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припинення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тощо.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Боржником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відповідний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вважається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стадіях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прийме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відносинах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виступають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фізичні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встановленому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підтверджені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документами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грошових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виплати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заборгованості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заробітній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працівникам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податкової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служби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здійснюють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контроль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правильністю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своєчасністю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справляння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(обов’язкових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платежів).</w:t>
      </w:r>
      <w:r w:rsidR="009D50E8">
        <w:rPr>
          <w:sz w:val="28"/>
          <w:szCs w:val="28"/>
          <w:lang w:val="uk-UA"/>
        </w:rPr>
        <w:t xml:space="preserve"> 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зокрема,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відносить: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місцевого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самоврядування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центральні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виконавчої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42;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43);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надзвичайних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ситуацій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захисту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населення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наслідків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Чорнобильської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катастрофи,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охорони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навколишнього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природного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середовища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ядерної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безпеки,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геології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використання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надр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2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43);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нагляду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страховою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45);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ринку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цінних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паперів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(п.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1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46).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Законодавством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види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позасудових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провадитися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метою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запобігання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банкрутству: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допомога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(досудова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санація).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Фінансова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допомога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розмірі,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достатньому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погашення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числі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сплати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надана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приватного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засновниками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(учасниками)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особами.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Досудова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система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заходів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здійснювати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власник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(орган,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уповноважений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управляти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майном)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інвестор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метою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запобігання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шляхом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реорганізаційних,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організаційно-господарських,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управлінських,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інвестиційних,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технічних,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фінансово-економічних,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заходів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відповідно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законодавства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початку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банкрутство.</w:t>
      </w:r>
      <w:r w:rsidR="009D50E8">
        <w:rPr>
          <w:sz w:val="28"/>
          <w:szCs w:val="28"/>
          <w:lang w:val="uk-UA"/>
        </w:rPr>
        <w:t xml:space="preserve"> 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Досудова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провадиться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рахунок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коштів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джерел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фінансування.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Обсяг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коштів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досудової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рахунок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коштів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щорічно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встановлюється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бюджет.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[5],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процесуальним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кодексом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Особливості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регулюються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„Про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банківську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діяльність”.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Відповідно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[5]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застосовуються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bookmarkStart w:id="20" w:name="62"/>
      <w:bookmarkEnd w:id="20"/>
      <w:r w:rsidRPr="00A240B2">
        <w:rPr>
          <w:sz w:val="28"/>
          <w:szCs w:val="28"/>
          <w:lang w:val="uk-UA"/>
        </w:rPr>
        <w:t>розпорядження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bookmarkStart w:id="21" w:name="63"/>
      <w:bookmarkEnd w:id="21"/>
      <w:r w:rsidRPr="00A240B2">
        <w:rPr>
          <w:sz w:val="28"/>
          <w:szCs w:val="28"/>
          <w:lang w:val="uk-UA"/>
        </w:rPr>
        <w:t>мирова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bookmarkStart w:id="22" w:name="64"/>
      <w:bookmarkEnd w:id="22"/>
      <w:r w:rsidRPr="00A240B2">
        <w:rPr>
          <w:sz w:val="28"/>
          <w:szCs w:val="28"/>
          <w:lang w:val="uk-UA"/>
        </w:rPr>
        <w:t>санація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5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bookmarkStart w:id="23" w:name="65"/>
      <w:bookmarkEnd w:id="23"/>
      <w:r w:rsidRPr="00A240B2">
        <w:rPr>
          <w:sz w:val="28"/>
          <w:szCs w:val="28"/>
          <w:lang w:val="uk-UA"/>
        </w:rPr>
        <w:t>ліквідація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підвідомчі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розглядаються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місцезнаходженням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п.1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ст.6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[5].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навчальному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посібнику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[25,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206-209]: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підготовче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виявлення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інвесторів;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попереднє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утворення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підсумкове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винесення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ухвали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санацію;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6"/>
        </w:num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відкриття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процедури;</w:t>
      </w:r>
    </w:p>
    <w:p w:rsidR="008C083E" w:rsidRPr="00A240B2" w:rsidRDefault="008C083E" w:rsidP="00A240B2">
      <w:pPr>
        <w:keepNext/>
        <w:widowControl w:val="0"/>
        <w:numPr>
          <w:ilvl w:val="0"/>
          <w:numId w:val="16"/>
        </w:numPr>
        <w:shd w:val="clear" w:color="auto" w:fill="auto"/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припинення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розглядає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предмет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підлягає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прийняттю,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порушенню.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Суддя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додержанням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вимог.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Суддя,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прийнявши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пізніше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надходження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виносить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направляє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сторонам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ухвалу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ухвалі,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вказано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неможливо,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підготовчому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засіданні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суду.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Підготовче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необхідне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оцінки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документів;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заслуховування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пояснення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сторін;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розгляду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обґрунтованості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заперечень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7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призначення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призначити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неможливо.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Виявлення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шляхом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місячний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опублікування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письмових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грошові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документів,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підтверджують.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Інвестори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(фізичні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юридичні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бажання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взяти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участь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розпорядникові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участь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Попереднє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проводиться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пізніше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трьох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підготовчого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попередньому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господарський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розглядає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заперечення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включені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результатами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розгляду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виносить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ухвалу,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зазначається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розмір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включаються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призначається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дата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Протягом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десяти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днів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винесення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ухвали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результатами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попереднього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засідання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розпорядник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повідомляє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згідно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місце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організує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компетенції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належить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рішення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вибори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членів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визначення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кількісного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складу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повноважень,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дострокове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припинення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повноважень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окремих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членів;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інші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питання,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клопотанням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винести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ухвалу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призначення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керуючого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санацією.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вводиться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більше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дванадцяти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подовжений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шести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скорочений.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Протягом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трьох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винесення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ухвали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керуючий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санацією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комітету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схвалення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повинен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Платоспроможність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вважається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відновленою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відсутності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ознак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ряді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випадків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приймає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відкриває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процедуру.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перевищувати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дванадцяти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проте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продовжений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шість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місяців.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прийняття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арбітражним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постанови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оголошення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відкриття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переходить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статус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–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статус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Цей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правовий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статус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передбачає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ряд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особливих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положень: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підприємницька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завершується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закінченням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технологічного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циклу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виготовлення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продукції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разі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можливості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її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продажу;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строк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усіх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грошових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сплати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податків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зборів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(обов’язкових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платежів)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вважається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таким,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настав;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припиняється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нарахування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неустойки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(штрафу,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пені),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відсотків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економічних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санкцій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всіма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видами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заборгованості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відомості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фінансове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становище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перестають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конфіденційними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становити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комерційну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таємницю;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укладення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пов’язаних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відчуженням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передачею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його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третім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особам,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допускається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скасовується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арешт,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накладений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обмеження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Накладення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нових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арештів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інших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обмежень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розпорядження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майном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допускається;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вимоги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зобов’язаннями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що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виникли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час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проведення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можуть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пред’являтися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тільки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межах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ліквідаційної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процедури;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виконання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здійснюється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випадках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передбачених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Мирова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укладена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будь-якій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стадії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банкрутство.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мировою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розуміється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домовленість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між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стосовно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відстрочки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(або)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розстрочки,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також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прощення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(списання)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боргів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оформляється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сторін.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Мирова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може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бути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розірвана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рішенням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суду.</w:t>
      </w:r>
    </w:p>
    <w:p w:rsidR="008C083E" w:rsidRPr="00A240B2" w:rsidRDefault="008C083E" w:rsidP="00A240B2">
      <w:pPr>
        <w:pStyle w:val="a4"/>
        <w:keepNext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Арбітражний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припиняє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якщо: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боржник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включений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Єдиного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державного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підприємств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організацій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України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Реєстру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суб’єктів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підприємницької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діяльності;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подано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визнання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банкрутом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ліквідованої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або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реорганізованої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(крім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реорганізації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формі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перетворення)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юридичної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особи;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арбітражного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суду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є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того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ж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затверджено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звіт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керуючого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санацією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порядку,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передбаченому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Законом;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затверджено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мирову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угоду;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затверджено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звіт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ліквідатора;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боржник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виконав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усі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зобов’язання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перед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кредиторами;</w:t>
      </w:r>
    </w:p>
    <w:p w:rsidR="008C083E" w:rsidRPr="00A240B2" w:rsidRDefault="008C083E" w:rsidP="00A240B2">
      <w:pPr>
        <w:pStyle w:val="a4"/>
        <w:keepNext/>
        <w:widowControl w:val="0"/>
        <w:numPr>
          <w:ilvl w:val="0"/>
          <w:numId w:val="2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  <w:lang w:val="uk-UA"/>
        </w:rPr>
      </w:pPr>
      <w:r w:rsidRPr="00A240B2">
        <w:rPr>
          <w:sz w:val="28"/>
          <w:szCs w:val="28"/>
          <w:lang w:val="uk-UA"/>
        </w:rPr>
        <w:t>кредитори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не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висунули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вимог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до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після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порушення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провадження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у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справі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про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банкрутство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заявою</w:t>
      </w:r>
      <w:r w:rsidR="009D50E8">
        <w:rPr>
          <w:sz w:val="28"/>
          <w:szCs w:val="28"/>
          <w:lang w:val="uk-UA"/>
        </w:rPr>
        <w:t xml:space="preserve"> </w:t>
      </w:r>
      <w:r w:rsidRPr="00A240B2">
        <w:rPr>
          <w:sz w:val="28"/>
          <w:szCs w:val="28"/>
          <w:lang w:val="uk-UA"/>
        </w:rPr>
        <w:t>боржника.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Існуючі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засади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організаційний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реорганізаційної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вагомим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повинен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враховуватися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заходів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нормативного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банкрутства:</w:t>
      </w:r>
    </w:p>
    <w:p w:rsidR="008C083E" w:rsidRPr="00A240B2" w:rsidRDefault="008C083E" w:rsidP="00A240B2">
      <w:pPr>
        <w:keepNext/>
        <w:widowControl w:val="0"/>
        <w:numPr>
          <w:ilvl w:val="0"/>
          <w:numId w:val="2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державне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департаментом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місцевого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самоврядування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центральні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виконавчої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влади,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органи;</w:t>
      </w:r>
    </w:p>
    <w:p w:rsidR="008C083E" w:rsidRPr="00A240B2" w:rsidRDefault="008C083E" w:rsidP="00A240B2">
      <w:pPr>
        <w:keepNext/>
        <w:widowControl w:val="0"/>
        <w:numPr>
          <w:ilvl w:val="0"/>
          <w:numId w:val="2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позасудовими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процедурами,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провадитися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запобігання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боржника;</w:t>
      </w:r>
    </w:p>
    <w:p w:rsidR="008C083E" w:rsidRPr="00A240B2" w:rsidRDefault="008C083E" w:rsidP="00A240B2">
      <w:pPr>
        <w:keepNext/>
        <w:widowControl w:val="0"/>
        <w:numPr>
          <w:ilvl w:val="0"/>
          <w:numId w:val="24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судовими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застосовуються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мирова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угода,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bookmarkStart w:id="24" w:name="_Toc200535589"/>
      <w:bookmarkStart w:id="25" w:name="_Toc229126177"/>
      <w:r w:rsidRPr="00A240B2">
        <w:rPr>
          <w:color w:val="auto"/>
          <w:lang w:val="uk-UA"/>
        </w:rPr>
        <w:t>1.3</w:t>
      </w:r>
      <w:r w:rsidR="009D50E8">
        <w:rPr>
          <w:color w:val="auto"/>
          <w:lang w:val="uk-UA"/>
        </w:rPr>
        <w:t xml:space="preserve"> </w:t>
      </w:r>
      <w:bookmarkEnd w:id="24"/>
      <w:bookmarkEnd w:id="25"/>
      <w:r w:rsidR="00C14406" w:rsidRPr="00A240B2">
        <w:rPr>
          <w:color w:val="auto"/>
          <w:lang w:val="uk-UA"/>
        </w:rPr>
        <w:t>Сучасний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стан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України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її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вплив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банкрутства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підприємств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заходи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щодо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її</w:t>
      </w:r>
      <w:r w:rsidR="009D50E8">
        <w:rPr>
          <w:color w:val="auto"/>
          <w:lang w:val="uk-UA"/>
        </w:rPr>
        <w:t xml:space="preserve"> </w:t>
      </w:r>
      <w:r w:rsidR="00C14406" w:rsidRPr="00A240B2">
        <w:rPr>
          <w:color w:val="auto"/>
          <w:lang w:val="uk-UA"/>
        </w:rPr>
        <w:t>реформування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Основне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завдання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перебудови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України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сучасної,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ефективної,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раціональної,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екологічно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безпечної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конкурентноздатного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вітчизняного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основі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реалізації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абсолютних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відносних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країни.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Для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удосконалення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відтворювальних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пропорцій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потрібні: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модернізація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його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технічне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технологічне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оновлення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зниження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ресурсомісткості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(фондо-,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матеріало-,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енерго-,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працемісткості)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зміна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співвідношення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між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виробництвом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засобів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предметів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споживання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користь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останнього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створення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умов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для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розширеного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(інвестування)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посилення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технологічної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цілісності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закінченого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(замкненого)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циклу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ефективної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галузевої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передбачає: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усунення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гіпертрофованих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диспропорцій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між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реальним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фінансовим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секторами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також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всередині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кожного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них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переважний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що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задовольняють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потреби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людей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широкий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сфери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послуг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створення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наукомістких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високотехнологічних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переробних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новій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технічній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технологічній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базі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конверсія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військового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експортних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імпортозамінних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пріоритетних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(ключових)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національної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Оптимізація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територіальної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передбачає: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забезпечення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комплексного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пропорційного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розвитку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всіх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районів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регіонів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країни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основі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раціонального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використання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конкретних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умов,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наявних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ресурсів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(трудових,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земельних,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водних,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енергетичних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тощо)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усунення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диспропорцій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розвитку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окремих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територій,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вирівнювання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рівнів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соціально-економічного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розвитку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гармонізація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загальнодержавних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регіональних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інтересів.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Зовнішньоекономічна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потребує: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збільшення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експортного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потенціалу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країни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зменшення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експорті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частки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сировини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матеріалів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збільшення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частки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переробних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збільшення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імпорті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частки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прогресивного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обладнання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машин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зменшення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харчування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що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може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вироблятися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вітчизняних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підприємствах.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Соціальна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потребує: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подальших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змін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системі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власності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(роздержавлення,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приватизація,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вдосконалення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функціонування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сектору,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малого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середнього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бізнесу)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ефективного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власника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регулювання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доходів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населення,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створення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ефективного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мотиваційного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механізму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високопродуктивної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праці,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усунення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великої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диференціації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доходів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соціальний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захист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вразливих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верств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населення.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Заходи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щодо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вдосконалення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нормативно-правового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перебудови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створення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сприятливих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умов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для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реалізації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конкурентних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реального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національного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капіталу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виділення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пріоритетних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їх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підтримка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макроекономічна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стабілізація,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стимулювання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прогресивних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зрушень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економіці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ефективна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інвестиційна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інноваційна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політика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розробка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макроекономічних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прогнозів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щодо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сучасної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розробка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загальнонаціональних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галузевих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програм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перетворень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раціональне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залучення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іноземного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капіталу,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здатного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забезпечити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реформування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інформатизація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суспільства,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оволодіння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сучасними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інформаційними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технологіями.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Конкурентні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наявність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специфічних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ресурсів,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використання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яких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відповідних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умов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забезпечує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додатковий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ефект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завдяки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нижчим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витратам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одиницю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продукції.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Конкурентні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України: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кваліфіковані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трудові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ресурси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значні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запаси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чорнозему,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вигідно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розташовані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сільськогосподарські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угіддя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сприятливі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природно-кліматичні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умови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значні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вільні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виробничі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площі,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використання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яких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дає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можливість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нарощувати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відносно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невеликими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витратами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вигідне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географічне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положення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транспортна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інфраструктура</w:t>
      </w:r>
    </w:p>
    <w:p w:rsidR="00C14406" w:rsidRPr="00A240B2" w:rsidRDefault="00C14406" w:rsidP="00A240B2">
      <w:pPr>
        <w:keepNext/>
        <w:widowControl w:val="0"/>
        <w:numPr>
          <w:ilvl w:val="0"/>
          <w:numId w:val="52"/>
        </w:numPr>
        <w:tabs>
          <w:tab w:val="clear" w:pos="2149"/>
          <w:tab w:val="left" w:pos="900"/>
        </w:tabs>
        <w:ind w:left="0" w:firstLine="709"/>
        <w:rPr>
          <w:color w:val="auto"/>
          <w:lang w:val="uk-UA"/>
        </w:rPr>
      </w:pPr>
      <w:r w:rsidRPr="00A240B2">
        <w:rPr>
          <w:color w:val="auto"/>
          <w:lang w:val="uk-UA"/>
        </w:rPr>
        <w:t>значний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науково-технологічний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потенціал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(наукові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школи,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унікальні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сучасні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виробництва).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Метод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ключових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визначення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сильними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зворотними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зв'язками,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здатних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викликати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відповідну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ланцюгову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реакцію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економічного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розвитку,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обумовити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позитивні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зрушення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економіці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забезпечити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реалізацію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цілей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економічної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політики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держави.</w:t>
      </w:r>
      <w:r w:rsidR="009D50E8">
        <w:rPr>
          <w:color w:val="auto"/>
          <w:lang w:val="uk-UA"/>
        </w:rPr>
        <w:t xml:space="preserve"> 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Пріоритетна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галузь,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розвиткові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якої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держава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надає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враховуючи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її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роль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важливість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для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економіки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країни.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Пріоритети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структурної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політики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України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(за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використанням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конкурентних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переваг)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група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наукомісткі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технологічні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(ракетно-космічна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техніка,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літако-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моторобудування,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електрозварювання,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порошкова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металургія,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біотехнологія,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мікроелектроніка,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робототехніка,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машинобудування,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окремі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ВПК)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група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підгалузі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агропромислового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комплексу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(зокрема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переробні),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що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мають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унікальні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природні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основи,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традиції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експорту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різноманітних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харчування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(харчова,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борошномельно-круп'яна,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кондитерська,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овочево-консервна,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комбікормова,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легкої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промисловості,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які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спеціалізуються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первинній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переробці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сільськогосподарської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сировини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тощо)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3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група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транзитні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перевезення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вантажів,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транспортування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нафти,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газу,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електроенергії,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надання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міжнародних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послуг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галузі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транспорту,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зв'язку,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телекомунікацій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група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рекреаційно-туристичний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оздоровчо-лікувальний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комплекси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Карпат,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Причорномор'я,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Приазов'я,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інших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регіонів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країни</w:t>
      </w:r>
    </w:p>
    <w:p w:rsidR="00C14406" w:rsidRPr="00A240B2" w:rsidRDefault="00C14406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5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група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види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діяльності,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пов'язані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забезпеченням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здоров'я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людини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охороною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навколишнього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середовища.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</w:p>
    <w:p w:rsidR="00587DC9" w:rsidRPr="00A240B2" w:rsidRDefault="008C083E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br w:type="page"/>
      </w:r>
      <w:bookmarkStart w:id="26" w:name="_Toc229126178"/>
      <w:r w:rsidR="00587DC9" w:rsidRPr="00A240B2">
        <w:rPr>
          <w:color w:val="auto"/>
          <w:sz w:val="28"/>
          <w:lang w:val="uk-UA"/>
        </w:rPr>
        <w:t>Розділ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2.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Аналіз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фінансово-економічного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стану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підприємства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на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прикладі</w:t>
      </w:r>
      <w:r w:rsidR="009D50E8">
        <w:rPr>
          <w:color w:val="auto"/>
          <w:sz w:val="28"/>
          <w:lang w:val="uk-UA"/>
        </w:rPr>
        <w:t xml:space="preserve"> </w:t>
      </w:r>
      <w:r w:rsidR="003D0B02" w:rsidRPr="00A240B2">
        <w:rPr>
          <w:color w:val="auto"/>
          <w:kern w:val="28"/>
          <w:sz w:val="28"/>
          <w:szCs w:val="28"/>
          <w:lang w:val="uk-UA"/>
        </w:rPr>
        <w:t>ВАТ</w:t>
      </w:r>
      <w:r w:rsidR="009D50E8">
        <w:rPr>
          <w:color w:val="auto"/>
          <w:kern w:val="28"/>
          <w:sz w:val="28"/>
          <w:szCs w:val="28"/>
          <w:lang w:val="uk-UA"/>
        </w:rPr>
        <w:t xml:space="preserve"> </w:t>
      </w:r>
      <w:r w:rsidR="003D0B02" w:rsidRPr="00A240B2">
        <w:rPr>
          <w:color w:val="auto"/>
          <w:kern w:val="28"/>
          <w:sz w:val="28"/>
          <w:szCs w:val="28"/>
          <w:lang w:val="uk-UA"/>
        </w:rPr>
        <w:t>„Білоцерківський</w:t>
      </w:r>
      <w:r w:rsidR="009D50E8">
        <w:rPr>
          <w:color w:val="auto"/>
          <w:kern w:val="28"/>
          <w:sz w:val="28"/>
          <w:szCs w:val="28"/>
          <w:lang w:val="uk-UA"/>
        </w:rPr>
        <w:t xml:space="preserve"> </w:t>
      </w:r>
      <w:r w:rsidR="003D0B02" w:rsidRPr="00A240B2">
        <w:rPr>
          <w:color w:val="auto"/>
          <w:kern w:val="28"/>
          <w:sz w:val="28"/>
          <w:szCs w:val="28"/>
          <w:lang w:val="uk-UA"/>
        </w:rPr>
        <w:t>молочний</w:t>
      </w:r>
      <w:r w:rsidR="009D50E8">
        <w:rPr>
          <w:color w:val="auto"/>
          <w:kern w:val="28"/>
          <w:sz w:val="28"/>
          <w:szCs w:val="28"/>
          <w:lang w:val="uk-UA"/>
        </w:rPr>
        <w:t xml:space="preserve"> </w:t>
      </w:r>
      <w:r w:rsidR="003D0B02" w:rsidRPr="00A240B2">
        <w:rPr>
          <w:color w:val="auto"/>
          <w:kern w:val="28"/>
          <w:sz w:val="28"/>
          <w:szCs w:val="28"/>
          <w:lang w:val="uk-UA"/>
        </w:rPr>
        <w:t>завод”</w:t>
      </w:r>
      <w:bookmarkEnd w:id="26"/>
    </w:p>
    <w:p w:rsidR="00A240B2" w:rsidRDefault="00A240B2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bookmarkStart w:id="27" w:name="_Toc229126179"/>
    </w:p>
    <w:p w:rsidR="00587DC9" w:rsidRPr="00A240B2" w:rsidRDefault="00587DC9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r w:rsidRPr="00A240B2">
        <w:rPr>
          <w:color w:val="auto"/>
          <w:lang w:val="uk-UA"/>
        </w:rPr>
        <w:t>2.1</w:t>
      </w:r>
      <w:r w:rsidR="009D50E8">
        <w:rPr>
          <w:color w:val="auto"/>
          <w:lang w:val="uk-UA"/>
        </w:rPr>
        <w:t xml:space="preserve"> </w:t>
      </w:r>
      <w:r w:rsidR="00F8295C" w:rsidRPr="00A240B2">
        <w:rPr>
          <w:color w:val="auto"/>
          <w:lang w:val="uk-UA"/>
        </w:rPr>
        <w:t>Діагностика</w:t>
      </w:r>
      <w:r w:rsidR="009D50E8">
        <w:rPr>
          <w:color w:val="auto"/>
          <w:lang w:val="uk-UA"/>
        </w:rPr>
        <w:t xml:space="preserve"> </w:t>
      </w:r>
      <w:r w:rsidR="00F8295C" w:rsidRPr="00A240B2">
        <w:rPr>
          <w:color w:val="auto"/>
          <w:lang w:val="uk-UA"/>
        </w:rPr>
        <w:t>фінансового</w:t>
      </w:r>
      <w:r w:rsidR="009D50E8">
        <w:rPr>
          <w:color w:val="auto"/>
          <w:lang w:val="uk-UA"/>
        </w:rPr>
        <w:t xml:space="preserve"> </w:t>
      </w:r>
      <w:r w:rsidR="00F8295C" w:rsidRPr="00A240B2">
        <w:rPr>
          <w:color w:val="auto"/>
          <w:lang w:val="uk-UA"/>
        </w:rPr>
        <w:t>стану</w:t>
      </w:r>
      <w:r w:rsidR="009D50E8">
        <w:rPr>
          <w:color w:val="auto"/>
          <w:lang w:val="uk-UA"/>
        </w:rPr>
        <w:t xml:space="preserve"> </w:t>
      </w:r>
      <w:r w:rsidR="00F8295C" w:rsidRPr="00A240B2">
        <w:rPr>
          <w:color w:val="auto"/>
          <w:lang w:val="uk-UA"/>
        </w:rPr>
        <w:t>підприємства</w:t>
      </w:r>
      <w:r w:rsidR="009D50E8">
        <w:rPr>
          <w:color w:val="auto"/>
          <w:lang w:val="uk-UA"/>
        </w:rPr>
        <w:t xml:space="preserve"> </w:t>
      </w:r>
      <w:r w:rsidR="003D0B02" w:rsidRPr="00A240B2">
        <w:rPr>
          <w:color w:val="auto"/>
          <w:kern w:val="28"/>
          <w:szCs w:val="28"/>
          <w:lang w:val="uk-UA"/>
        </w:rPr>
        <w:t>ВАТ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="003D0B02" w:rsidRPr="00A240B2">
        <w:rPr>
          <w:color w:val="auto"/>
          <w:kern w:val="28"/>
          <w:szCs w:val="28"/>
          <w:lang w:val="uk-UA"/>
        </w:rPr>
        <w:t>Білоцерківський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="003D0B02" w:rsidRPr="00A240B2">
        <w:rPr>
          <w:color w:val="auto"/>
          <w:kern w:val="28"/>
          <w:szCs w:val="28"/>
          <w:lang w:val="uk-UA"/>
        </w:rPr>
        <w:t>молочний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="003D0B02" w:rsidRPr="00A240B2">
        <w:rPr>
          <w:color w:val="auto"/>
          <w:kern w:val="28"/>
          <w:szCs w:val="28"/>
          <w:lang w:val="uk-UA"/>
        </w:rPr>
        <w:t>завод</w:t>
      </w:r>
      <w:bookmarkEnd w:id="27"/>
      <w:r w:rsidR="009D50E8">
        <w:rPr>
          <w:color w:val="auto"/>
          <w:kern w:val="28"/>
          <w:szCs w:val="28"/>
          <w:lang w:val="uk-UA"/>
        </w:rPr>
        <w:t>»</w:t>
      </w:r>
    </w:p>
    <w:p w:rsidR="003D0B02" w:rsidRPr="00A240B2" w:rsidRDefault="003D0B02" w:rsidP="00A240B2">
      <w:pPr>
        <w:keepNext/>
        <w:widowControl w:val="0"/>
        <w:rPr>
          <w:color w:val="auto"/>
          <w:lang w:val="uk-UA"/>
        </w:rPr>
      </w:pP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ВАТ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Білоцерківський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молочний</w:t>
      </w:r>
      <w:r w:rsidR="009D50E8">
        <w:rPr>
          <w:color w:val="auto"/>
          <w:kern w:val="28"/>
          <w:szCs w:val="28"/>
          <w:lang w:val="uk-UA"/>
        </w:rPr>
        <w:t xml:space="preserve"> завод» </w:t>
      </w:r>
      <w:r w:rsidRPr="00A240B2">
        <w:rPr>
          <w:color w:val="auto"/>
          <w:kern w:val="28"/>
          <w:szCs w:val="28"/>
          <w:lang w:val="uk-UA"/>
        </w:rPr>
        <w:t>в</w:t>
      </w:r>
      <w:r w:rsidRPr="00A240B2">
        <w:rPr>
          <w:color w:val="auto"/>
          <w:lang w:val="uk-UA"/>
        </w:rPr>
        <w:t>иробляє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молочну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запатентованою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торгівельною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маркою.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Молоко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пастеризоване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–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т\сутки;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вершкове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–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4,5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т\сутки;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Сухе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знежирене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молоко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–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7,6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т\сутки.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Поточна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потужність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сезон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складає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65-75%.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Діяльність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зосереджена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виготовленні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оптовій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торгівлі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молочними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продуктами.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Чисельність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зайнятих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розрахунку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повний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робочий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день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163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чіл,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тому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числі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адміністративний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персонал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23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чіл.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Земельна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ділянка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5,9322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тому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числі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заводом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3,2604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очисні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споруди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1,5165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артезіанські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свердловини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1,553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Загальна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площа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Цілісного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майнового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комплексу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3629,6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кв.м.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2006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році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була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проведена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реконструкція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котельної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(перехід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мазуту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газ),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встановлені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нових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казана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марки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ДЕ-6,5/14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марки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ДЕ-4/14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газово-мазутними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пальниками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типа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залишено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місце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третій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казан.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Також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є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цех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№2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(приймальний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пункт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молока),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земельна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ділянка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0,14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площа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виробничих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приміщень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273,2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кв.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повністю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оснащене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всім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технологічним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устаткуванням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автотранспорту.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цілях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роздрібної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реалізації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молочної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продукції,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побудували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власний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магазин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площею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59,4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кв.м.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Ринок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збуту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готової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продукції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складається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крупних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українських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підприємств-переробників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експортерів.</w:t>
      </w:r>
      <w:r w:rsidR="009D50E8">
        <w:rPr>
          <w:color w:val="auto"/>
          <w:lang w:val="uk-UA"/>
        </w:rPr>
        <w:t xml:space="preserve"> 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Цех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сухого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знежиреного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молока: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Сушка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розпильна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ЦТ-500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(виробництво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Німеччини)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–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продуктивність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500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випареної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вологи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годину,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вакуумні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випарні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установки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Ліганд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(2шт.,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Німеччина)-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продуктивність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4000кг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випареної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вологи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годину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кожна.</w:t>
      </w:r>
      <w:r w:rsidR="009D50E8">
        <w:rPr>
          <w:color w:val="auto"/>
          <w:lang w:val="uk-UA"/>
        </w:rPr>
        <w:t xml:space="preserve"> 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Маслоцех: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мелешинська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лінія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виробництву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масла,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тому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числі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маслозбивач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МО-001-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4х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циліндровий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(2007г.)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продуктивність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700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годину,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маслозбивач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ТОМ-3,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продуктивність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400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годину,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ванна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ВН-600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(3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шт),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сепаратори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Г9ОСК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Г9ОС2К,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Г9ОСК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Фасувальна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машина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для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масла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АРМ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(фасовка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фольгу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пачки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гр.)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продуктивність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1000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кг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годину</w:t>
      </w:r>
    </w:p>
    <w:p w:rsidR="00D2516D" w:rsidRPr="00A240B2" w:rsidRDefault="00D2516D" w:rsidP="00A240B2">
      <w:pPr>
        <w:keepNext/>
        <w:widowControl w:val="0"/>
        <w:rPr>
          <w:color w:val="auto"/>
          <w:lang w:val="uk-UA"/>
        </w:rPr>
      </w:pPr>
      <w:r w:rsidRPr="00A240B2">
        <w:rPr>
          <w:color w:val="auto"/>
          <w:lang w:val="uk-UA"/>
        </w:rPr>
        <w:t>Устаткування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розраховане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переробку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100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тонн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сировини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добу.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Добова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заготівка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заводі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складає,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не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менше: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у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зимовий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період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20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тонн;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березень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30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тонн;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травень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60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тонн;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літній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період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-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80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тонн.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Ефективний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умови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усвідомлення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змісту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раціонального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вміння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вищого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керівництва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структурувати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формувати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адекватну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його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структуру.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комплекси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операцій,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здійснює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єдине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ціле,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або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делеговані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працівники,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внутрішньому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зовнішньому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середовищах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розвитку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думку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Файоля,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здійснює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[50,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9]: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технічну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(виробничу);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комерційну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(закупівля,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збут,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обмін,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маркетинг);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фінансову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(раціональне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власного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залученого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капіталу);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бухгалтерську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(облік,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статистика,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аналіз);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захисну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(захист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майна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людей);</w:t>
      </w:r>
    </w:p>
    <w:p w:rsidR="0050528A" w:rsidRPr="00A240B2" w:rsidRDefault="0050528A" w:rsidP="00A240B2">
      <w:pPr>
        <w:keepNext/>
        <w:widowControl w:val="0"/>
        <w:numPr>
          <w:ilvl w:val="0"/>
          <w:numId w:val="48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адміністративну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(управлінську).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Технічна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об’єднує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основні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допоміжні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Науково-дослідні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проектні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розробки,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складовою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технічної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відноситися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галузей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господарства,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досвід.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допоможе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скоротити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витрати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опанування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початок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послуг,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адже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діяльності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галузі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постачальники.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ж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випадку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великі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прибутки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продажу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ексклюзивного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ще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отримати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збитки,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маючи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досвіду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роботи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новій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галузі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виробляючи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цьому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користується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попитом.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Планування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класифікацією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Файоля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також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відноситься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технічної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Але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складовою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плануван</w:t>
      </w:r>
      <w:r w:rsidR="009D50E8">
        <w:rPr>
          <w:color w:val="auto"/>
          <w:kern w:val="28"/>
          <w:szCs w:val="28"/>
          <w:lang w:val="uk-UA"/>
        </w:rPr>
        <w:t xml:space="preserve">ня»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розглянута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далі.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Контролювання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послуг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важлива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діяльності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ВАТ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Білоцерківський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молочний</w:t>
      </w:r>
      <w:r w:rsidR="009D50E8">
        <w:rPr>
          <w:color w:val="auto"/>
          <w:kern w:val="28"/>
          <w:szCs w:val="28"/>
          <w:lang w:val="uk-UA"/>
        </w:rPr>
        <w:t xml:space="preserve"> завод»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завданням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заступника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директора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впроваджуються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стандарти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ISO:9001,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визнані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світовому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ринку.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пройшла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перевірки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виходить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ринок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продається.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комерційної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належать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закупівлі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сировини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обладнання,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енергоресурсів.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повинно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достатньо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Замала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призведе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недоотримання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максимально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прибутків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через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неповного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виконання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ніші,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зайнятої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підприємством.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Невикористаними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ринковими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можливостями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обов’язково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скористається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(конкурент),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наслідком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послаблення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позиції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розширення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можливостей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конкурентів.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Закупівля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зайвих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неможливо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даному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призведе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велика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частина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продана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найближчим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часом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зіпсована,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також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неефективною.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попит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закупати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призведе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оптимальної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даних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умовах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Але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закупівлі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оптимальної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неналежної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також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прогнозувати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великих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прибутків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із-за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неякісної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виборі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постачальників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брати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уваги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тих,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користуються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повагою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підприємств-конкурентів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пропонують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(товари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перепродажу,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ресурси)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прийнятними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цінами.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виборі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персоналу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виправданим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орієнтування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працівників,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добре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орієнтуються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майбутній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роботі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досвід.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цьому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виникнути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ситуація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вірогідність,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що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буде),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працівник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вимагає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високої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заробітної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плати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досить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проблематично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замінити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його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іншим.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ситуації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деякі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керівники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погоджуються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вимогами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працівника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оплачують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його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працю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його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вимог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умови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виконання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роботи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Маркетингові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входять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складу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комерційної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велике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значення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успішного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продажу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продукції,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буде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користуватися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попитом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ринку.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думку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доктора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економічних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наук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Маслової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Т.Д.,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система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сукупність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прийомів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ресурсів,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постійно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надають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ексклюзивну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вирішення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нестандартних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проблем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[40,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76].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Результатом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стан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об’єкта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Але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щоб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була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корисною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прийняття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рішення,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воно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повинна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властивості: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правдивість,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актуальність,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повнота,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порівняння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аналогічною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інформацією,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економічність.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Витоки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антикризового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поділяються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групи:</w:t>
      </w:r>
    </w:p>
    <w:p w:rsidR="0050528A" w:rsidRPr="00A240B2" w:rsidRDefault="0050528A" w:rsidP="00A240B2">
      <w:pPr>
        <w:keepNext/>
        <w:widowControl w:val="0"/>
        <w:numPr>
          <w:ilvl w:val="0"/>
          <w:numId w:val="49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витоки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первинної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об’єкт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дослідження;</w:t>
      </w:r>
    </w:p>
    <w:p w:rsidR="0050528A" w:rsidRPr="00A240B2" w:rsidRDefault="0050528A" w:rsidP="00A240B2">
      <w:pPr>
        <w:keepNext/>
        <w:widowControl w:val="0"/>
        <w:numPr>
          <w:ilvl w:val="0"/>
          <w:numId w:val="49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витоки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вторинної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інші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суб’єкти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господарських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відносин,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подають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обробленому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вигляді,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призначеному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об’єкта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Типові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напрямки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досліджень:</w:t>
      </w:r>
    </w:p>
    <w:p w:rsidR="0050528A" w:rsidRPr="00A240B2" w:rsidRDefault="0050528A" w:rsidP="00A240B2">
      <w:pPr>
        <w:keepNext/>
        <w:widowControl w:val="0"/>
        <w:numPr>
          <w:ilvl w:val="0"/>
          <w:numId w:val="50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макросередовища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законодавства,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економічних,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екологічних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умов,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демографічних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течій;</w:t>
      </w:r>
    </w:p>
    <w:p w:rsidR="0050528A" w:rsidRPr="00A240B2" w:rsidRDefault="0050528A" w:rsidP="00A240B2">
      <w:pPr>
        <w:keepNext/>
        <w:widowControl w:val="0"/>
        <w:numPr>
          <w:ilvl w:val="0"/>
          <w:numId w:val="50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внутрішнього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середовища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дослідження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сильних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слабких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сторін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виробничо-збутової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діяльності;</w:t>
      </w:r>
    </w:p>
    <w:p w:rsidR="0050528A" w:rsidRPr="00A240B2" w:rsidRDefault="0050528A" w:rsidP="00A240B2">
      <w:pPr>
        <w:keepNext/>
        <w:widowControl w:val="0"/>
        <w:numPr>
          <w:ilvl w:val="0"/>
          <w:numId w:val="50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пошук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невикористаних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можливостей,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розподілу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долів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між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конкурентами,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реакції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покупців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маркетингові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стимули;</w:t>
      </w:r>
    </w:p>
    <w:p w:rsidR="0050528A" w:rsidRPr="00A240B2" w:rsidRDefault="0050528A" w:rsidP="00A240B2">
      <w:pPr>
        <w:keepNext/>
        <w:widowControl w:val="0"/>
        <w:numPr>
          <w:ilvl w:val="0"/>
          <w:numId w:val="50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вивчення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характеристик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ринковим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потребам.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Тільки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випадку,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коли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можливість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пропонувати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пропонує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покупцям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прийнятною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ціною,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кількості,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якості,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місці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потрібний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час,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з’являються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передумови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стабільного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Фінансова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передбачає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фінансовими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потоками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прибутками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витратами,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фінансування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виробництва,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кредитування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діяльності,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розрахунки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постачальниками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покупцями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тощо.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Бухгалтерська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охоплює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облік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руху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товарів,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матеріальних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цінностей,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фінансів.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Бухгалтерський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облік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бухгалтерський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Україні”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визначається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вимірювання,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реєстрації,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накопичення,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узагальнення,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зберігання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передачі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користувачам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рішень</w:t>
      </w:r>
      <w:r w:rsidRPr="00A240B2">
        <w:rPr>
          <w:color w:val="auto"/>
          <w:kern w:val="28"/>
          <w:szCs w:val="28"/>
          <w:lang w:val="uk-UA"/>
        </w:rPr>
        <w:t>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несвоєчасне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первинних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документів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регістрів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бухгалтерського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обліку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недостовірність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відображених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підписали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документи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[4].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додержання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законодавства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виконанні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бухгалтерського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обліку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несуть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відповідальність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керівник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головний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бухгалтер,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але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основна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відповідальність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лежить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керівникові,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оскільки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головний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бухгалтер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йому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підпорядкований.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рамках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цієї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важливим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проведення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положення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ринку.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Результатом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бути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звіт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сильні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слабкі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сторони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вході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виході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фінансового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відповідати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усім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вимогам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маркетингової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інформації.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процесі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виробничої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діяльності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важливим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захист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матеріальних,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нематеріальних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цінностей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персоналу,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що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завданням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захисної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Анрі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Файоль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розглядав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контексті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страхової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одну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задач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визначав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страхування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власності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від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замаху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взагалі,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різних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перешкод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соціального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характеру,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можуть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заподіяти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шкоду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навіть,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життю</w:t>
      </w:r>
      <w:r w:rsidR="009D50E8">
        <w:rPr>
          <w:color w:val="auto"/>
          <w:kern w:val="28"/>
          <w:szCs w:val="28"/>
          <w:lang w:val="uk-UA"/>
        </w:rPr>
        <w:t xml:space="preserve"> підприємства» </w:t>
      </w:r>
      <w:r w:rsidRPr="00A240B2">
        <w:rPr>
          <w:color w:val="auto"/>
          <w:kern w:val="28"/>
          <w:szCs w:val="28"/>
          <w:lang w:val="uk-UA"/>
        </w:rPr>
        <w:t>[50,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10].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сучасних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умовах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для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захисту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небажаного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втручання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ззовні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задіяні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різноманітні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охоронні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системи.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ВАТ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Білоцерківський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молочний</w:t>
      </w:r>
      <w:r w:rsidR="009D50E8">
        <w:rPr>
          <w:color w:val="auto"/>
          <w:kern w:val="28"/>
          <w:szCs w:val="28"/>
          <w:lang w:val="uk-UA"/>
        </w:rPr>
        <w:t xml:space="preserve"> завод» </w:t>
      </w:r>
      <w:r w:rsidRPr="00A240B2">
        <w:rPr>
          <w:color w:val="auto"/>
          <w:kern w:val="28"/>
          <w:szCs w:val="28"/>
          <w:lang w:val="uk-UA"/>
        </w:rPr>
        <w:t>ця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покладена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службу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охорони,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слідкує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порядком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території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заводу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разі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порушення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норм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правил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поведінки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вживає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заходи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щодо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усунення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проблеми,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виникла.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основних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задач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адміністративної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відносяться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операції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підприємством.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Файоль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придавав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особливого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значення.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Управляти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–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значить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передбачати,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організувати,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наказувати,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координувати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контролювати.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задачах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чітко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визначені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чотири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менеджменту: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планування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(передбачення),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мотивація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(віддання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наказів)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контроль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(координування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контролювання).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Визначення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конкретних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задач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виконанню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кожної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важливим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інструментом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ефективного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функціонування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сучасної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організації.</w:t>
      </w:r>
    </w:p>
    <w:p w:rsidR="0050528A" w:rsidRPr="00A240B2" w:rsidRDefault="0050528A" w:rsidP="00A240B2">
      <w:pPr>
        <w:keepNext/>
        <w:widowControl w:val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Визначивши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основні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антикризового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проаналізувавши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їх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розвиток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ВАТ</w:t>
      </w:r>
      <w:r w:rsidR="009D50E8">
        <w:rPr>
          <w:color w:val="auto"/>
          <w:kern w:val="28"/>
          <w:szCs w:val="28"/>
          <w:lang w:val="uk-UA"/>
        </w:rPr>
        <w:t xml:space="preserve"> «</w:t>
      </w:r>
      <w:r w:rsidRPr="00A240B2">
        <w:rPr>
          <w:color w:val="auto"/>
          <w:kern w:val="28"/>
          <w:szCs w:val="28"/>
          <w:lang w:val="uk-UA"/>
        </w:rPr>
        <w:t>Білоцерківський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молочний</w:t>
      </w:r>
      <w:r w:rsidR="009D50E8">
        <w:rPr>
          <w:color w:val="auto"/>
          <w:kern w:val="28"/>
          <w:szCs w:val="28"/>
          <w:lang w:val="uk-UA"/>
        </w:rPr>
        <w:t xml:space="preserve"> завод»</w:t>
      </w:r>
      <w:r w:rsidRPr="00A240B2">
        <w:rPr>
          <w:color w:val="auto"/>
          <w:kern w:val="28"/>
          <w:szCs w:val="28"/>
          <w:lang w:val="uk-UA"/>
        </w:rPr>
        <w:t>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можна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зробити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висновки:</w:t>
      </w:r>
    </w:p>
    <w:p w:rsidR="0050528A" w:rsidRPr="00A240B2" w:rsidRDefault="0050528A" w:rsidP="00A240B2">
      <w:pPr>
        <w:keepNext/>
        <w:widowControl w:val="0"/>
        <w:numPr>
          <w:ilvl w:val="0"/>
          <w:numId w:val="51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функціями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антикризового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менеджменту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планування,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мотивація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контроль,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включені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адміністративної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функції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організації,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завданням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якої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є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підприємством;</w:t>
      </w:r>
    </w:p>
    <w:p w:rsidR="0050528A" w:rsidRPr="00A240B2" w:rsidRDefault="0050528A" w:rsidP="00A240B2">
      <w:pPr>
        <w:keepNext/>
        <w:widowControl w:val="0"/>
        <w:numPr>
          <w:ilvl w:val="0"/>
          <w:numId w:val="51"/>
        </w:numPr>
        <w:shd w:val="clear" w:color="auto" w:fill="auto"/>
        <w:ind w:left="0" w:firstLine="709"/>
        <w:rPr>
          <w:color w:val="auto"/>
          <w:kern w:val="28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на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молокозаводі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впроваджені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та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діють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основні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задачі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антикризового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управління,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проте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важливо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робити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більш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повний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аналіз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внутрішнього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середовища,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використовуючи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усі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методи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попередження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кризових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явищ.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Бухгалтерський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(форма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№1)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інформативною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балансу:</w:t>
      </w:r>
    </w:p>
    <w:p w:rsidR="003D0B02" w:rsidRPr="00A240B2" w:rsidRDefault="003D0B02" w:rsidP="00A240B2">
      <w:pPr>
        <w:keepNext/>
        <w:widowControl w:val="0"/>
        <w:numPr>
          <w:ilvl w:val="0"/>
          <w:numId w:val="4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керівники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аналогічних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ринку;</w:t>
      </w:r>
    </w:p>
    <w:p w:rsidR="003D0B02" w:rsidRPr="00A240B2" w:rsidRDefault="003D0B02" w:rsidP="00A240B2">
      <w:pPr>
        <w:keepNext/>
        <w:widowControl w:val="0"/>
        <w:numPr>
          <w:ilvl w:val="0"/>
          <w:numId w:val="4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аналітики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визначають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поширених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абсолютних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змінам.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Найчастіше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закінчується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побудовою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однієї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декількох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таблиць,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абсолютні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доповнюються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[19,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354].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тобто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джерел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утворення,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0,1%.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46,5%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15,6%.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навіть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боргів,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становище.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10,8%,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первісної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196,4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зображена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П(С)БО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„Баланс”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належать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найменш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первісної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вкладання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застарілого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покупка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обладнання.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5,9%,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відбулося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заборгованості.</w:t>
      </w:r>
    </w:p>
    <w:p w:rsidR="00A240B2" w:rsidRP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9.75pt;height:148.5pt">
            <v:imagedata r:id="rId7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стосується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джерел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утворення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0,2%.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0,5%).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розширення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П(С)БО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</w:t>
      </w:r>
      <w:r w:rsidR="009D50E8">
        <w:rPr>
          <w:color w:val="auto"/>
          <w:szCs w:val="28"/>
          <w:lang w:val="uk-UA"/>
        </w:rPr>
        <w:t xml:space="preserve"> «Баланс»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частина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після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вирахування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розширення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63,8%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64%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зумовило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36,2%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36%.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боргів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втілюють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вигоди.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keepNext/>
        <w:widowControl w:val="0"/>
        <w:numPr>
          <w:ilvl w:val="0"/>
          <w:numId w:val="35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зменшилася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1,6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0,1%).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продовжиться,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спричинити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підприємства;</w:t>
      </w:r>
    </w:p>
    <w:p w:rsidR="003D0B02" w:rsidRPr="00A240B2" w:rsidRDefault="003D0B02" w:rsidP="00A240B2">
      <w:pPr>
        <w:keepNext/>
        <w:widowControl w:val="0"/>
        <w:numPr>
          <w:ilvl w:val="0"/>
          <w:numId w:val="35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зменшуються,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збільшуються;</w:t>
      </w:r>
    </w:p>
    <w:p w:rsidR="003D0B02" w:rsidRPr="00A240B2" w:rsidRDefault="003D0B02" w:rsidP="00A240B2">
      <w:pPr>
        <w:keepNext/>
        <w:widowControl w:val="0"/>
        <w:numPr>
          <w:ilvl w:val="0"/>
          <w:numId w:val="35"/>
        </w:numPr>
        <w:shd w:val="clear" w:color="auto" w:fill="auto"/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капіталу.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26" type="#_x0000_t75" style="width:318pt;height:172.5pt">
            <v:imagedata r:id="rId8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48,82%.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зумовлено: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3D0B02" w:rsidP="00A240B2">
      <w:pPr>
        <w:keepNext/>
        <w:widowControl w:val="0"/>
        <w:numPr>
          <w:ilvl w:val="0"/>
          <w:numId w:val="3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695,1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76,31%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118,12%,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розпочатого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вкладення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вибору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розширення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перспективі;</w:t>
      </w:r>
    </w:p>
    <w:p w:rsidR="003D0B02" w:rsidRPr="00A240B2" w:rsidRDefault="003D0B02" w:rsidP="00A240B2">
      <w:pPr>
        <w:keepNext/>
        <w:widowControl w:val="0"/>
        <w:numPr>
          <w:ilvl w:val="0"/>
          <w:numId w:val="36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31,55%,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50,71%,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33,02%,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бюджетом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50%,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виданими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авансами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117,8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сумарна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39,6%.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відтік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вигоди.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розподілені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порівну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явищем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68,28%,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Е).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11,47%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З’явилися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персоналу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37,5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персоналу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відображаються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нараховані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витрати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оплату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майбутніх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відпусток,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оплату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149,75%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40,07%,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взяття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банківського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877,8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27" type="#_x0000_t75" style="width:313.5pt;height:170.25pt" fillcolor="black">
            <v:imagedata r:id="rId9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keepNext/>
        <w:widowControl w:val="0"/>
        <w:numPr>
          <w:ilvl w:val="0"/>
          <w:numId w:val="3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48,82%;</w:t>
      </w:r>
    </w:p>
    <w:p w:rsidR="003D0B02" w:rsidRPr="00A240B2" w:rsidRDefault="003D0B02" w:rsidP="00A240B2">
      <w:pPr>
        <w:keepNext/>
        <w:widowControl w:val="0"/>
        <w:numPr>
          <w:ilvl w:val="0"/>
          <w:numId w:val="3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року;</w:t>
      </w:r>
    </w:p>
    <w:p w:rsidR="003D0B02" w:rsidRPr="00A240B2" w:rsidRDefault="003D0B02" w:rsidP="00A240B2">
      <w:pPr>
        <w:keepNext/>
        <w:widowControl w:val="0"/>
        <w:numPr>
          <w:ilvl w:val="0"/>
          <w:numId w:val="37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залученого.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від’ємні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(-11,47%)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(149,75%).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2200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62,6%,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зумовлено:</w:t>
      </w:r>
    </w:p>
    <w:p w:rsidR="003D0B02" w:rsidRPr="00A240B2" w:rsidRDefault="003D0B02" w:rsidP="00A240B2">
      <w:pPr>
        <w:keepNext/>
        <w:widowControl w:val="0"/>
        <w:numPr>
          <w:ilvl w:val="0"/>
          <w:numId w:val="38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15,8%,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27,1%,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5,5%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146,3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спостерігається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вперше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сигналізує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споруди.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тимчасової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обліковою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прибуток;</w:t>
      </w:r>
    </w:p>
    <w:p w:rsidR="003D0B02" w:rsidRPr="00A240B2" w:rsidRDefault="003D0B02" w:rsidP="00A240B2">
      <w:pPr>
        <w:keepNext/>
        <w:widowControl w:val="0"/>
        <w:numPr>
          <w:ilvl w:val="0"/>
          <w:numId w:val="38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102,1%,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виданими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авансами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1379,4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34,8%.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включені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серерньоліквідні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високоліквідні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майбутньому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розумного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заборгованість,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частину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2.4),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навпаки,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фізичних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юридичних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осіб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підприємством.</w:t>
      </w:r>
    </w:p>
    <w:p w:rsidR="003D0B0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68,8%,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205,9%.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з’явилися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персоналу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61,7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підлягає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сплаті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майбутніх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E2EDE">
        <w:rPr>
          <w:color w:val="auto"/>
          <w:szCs w:val="28"/>
          <w:lang w:val="uk-UA"/>
        </w:rPr>
        <w:pict>
          <v:shape id="_x0000_i1028" type="#_x0000_t75" style="width:371.25pt;height:229.5pt">
            <v:imagedata r:id="rId10" o:title=""/>
          </v:shape>
        </w:pic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1207,6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частковим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банківського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380,4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43,3%).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keepNext/>
        <w:widowControl w:val="0"/>
        <w:numPr>
          <w:ilvl w:val="0"/>
          <w:numId w:val="39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62,6%;</w:t>
      </w:r>
    </w:p>
    <w:p w:rsidR="003D0B02" w:rsidRPr="00A240B2" w:rsidRDefault="003D0B02" w:rsidP="00A240B2">
      <w:pPr>
        <w:keepNext/>
        <w:widowControl w:val="0"/>
        <w:numPr>
          <w:ilvl w:val="0"/>
          <w:numId w:val="39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102,1%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15,8%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рік;</w:t>
      </w:r>
    </w:p>
    <w:p w:rsidR="003D0B02" w:rsidRPr="00A240B2" w:rsidRDefault="003D0B02" w:rsidP="00A240B2">
      <w:pPr>
        <w:keepNext/>
        <w:widowControl w:val="0"/>
        <w:numPr>
          <w:ilvl w:val="0"/>
          <w:numId w:val="39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68,8%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залученого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(55,9%).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37,3%,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призвело:</w:t>
      </w:r>
    </w:p>
    <w:p w:rsidR="003D0B02" w:rsidRPr="00A240B2" w:rsidRDefault="003D0B02" w:rsidP="00A240B2">
      <w:pPr>
        <w:keepNext/>
        <w:widowControl w:val="0"/>
        <w:numPr>
          <w:ilvl w:val="0"/>
          <w:numId w:val="40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56,6%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розпочатого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комплексу,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21,3%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24,8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17%;</w:t>
      </w:r>
    </w:p>
    <w:p w:rsidR="003D0B02" w:rsidRPr="00A240B2" w:rsidRDefault="003D0B02" w:rsidP="00A240B2">
      <w:pPr>
        <w:keepNext/>
        <w:widowControl w:val="0"/>
        <w:numPr>
          <w:ilvl w:val="0"/>
          <w:numId w:val="40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27,9%,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готової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1206,5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32,8%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виданими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авансами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81,7%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ряд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обставин.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готової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відносяться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обробка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закінчена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пройшли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випробування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технічним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стандартам.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псування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продати.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боргів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Порівнюючи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2.5)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9%,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(з’явилися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року).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вперше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1065,9%.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1074,2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22102,4%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розрахунками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бюджетом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471,9%.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включена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замовникам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будівельними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контрактами.</w:t>
      </w:r>
    </w:p>
    <w:p w:rsidR="003D0B02" w:rsidRP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E2EDE">
        <w:rPr>
          <w:color w:val="auto"/>
          <w:szCs w:val="28"/>
          <w:lang w:val="uk-UA"/>
        </w:rPr>
        <w:pict>
          <v:shape id="_x0000_i1029" type="#_x0000_t75" style="width:327.75pt;height:164.25pt">
            <v:imagedata r:id="rId11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keepNext/>
        <w:widowControl w:val="0"/>
        <w:numPr>
          <w:ilvl w:val="0"/>
          <w:numId w:val="4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37,3%;</w:t>
      </w:r>
    </w:p>
    <w:p w:rsidR="003D0B02" w:rsidRPr="00A240B2" w:rsidRDefault="003D0B02" w:rsidP="00A240B2">
      <w:pPr>
        <w:keepNext/>
        <w:widowControl w:val="0"/>
        <w:numPr>
          <w:ilvl w:val="0"/>
          <w:numId w:val="4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56,6%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відповідно;</w:t>
      </w:r>
    </w:p>
    <w:p w:rsidR="003D0B02" w:rsidRPr="00A240B2" w:rsidRDefault="003D0B02" w:rsidP="00A240B2">
      <w:pPr>
        <w:keepNext/>
        <w:widowControl w:val="0"/>
        <w:numPr>
          <w:ilvl w:val="0"/>
          <w:numId w:val="41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збільшилася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12,6%.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призвело:</w:t>
      </w:r>
    </w:p>
    <w:p w:rsidR="003D0B02" w:rsidRPr="00A240B2" w:rsidRDefault="003D0B02" w:rsidP="00A240B2">
      <w:pPr>
        <w:keepNext/>
        <w:widowControl w:val="0"/>
        <w:numPr>
          <w:ilvl w:val="0"/>
          <w:numId w:val="4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32,4%,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20,7%.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протязі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постійне,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нестабільне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6-118%),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відстрочених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податкових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активів;</w:t>
      </w:r>
    </w:p>
    <w:p w:rsidR="003D0B02" w:rsidRPr="00A240B2" w:rsidRDefault="003D0B02" w:rsidP="00A240B2">
      <w:pPr>
        <w:keepNext/>
        <w:widowControl w:val="0"/>
        <w:numPr>
          <w:ilvl w:val="0"/>
          <w:numId w:val="4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0,9%.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розпочата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23,8%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1372,4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41,2%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нерозподіленого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1372,4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вперше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8,6%.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зумовлено,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19,3%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16,7%.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keepNext/>
        <w:widowControl w:val="0"/>
        <w:numPr>
          <w:ilvl w:val="0"/>
          <w:numId w:val="43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валюта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зросла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12,6%;</w:t>
      </w:r>
    </w:p>
    <w:p w:rsidR="003D0B02" w:rsidRPr="00A240B2" w:rsidRDefault="003D0B02" w:rsidP="00A240B2">
      <w:pPr>
        <w:keepNext/>
        <w:widowControl w:val="0"/>
        <w:numPr>
          <w:ilvl w:val="0"/>
          <w:numId w:val="43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32,4%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відповідно;</w:t>
      </w:r>
    </w:p>
    <w:p w:rsidR="003D0B02" w:rsidRPr="00A240B2" w:rsidRDefault="003D0B02" w:rsidP="00A240B2">
      <w:pPr>
        <w:keepNext/>
        <w:widowControl w:val="0"/>
        <w:numPr>
          <w:ilvl w:val="0"/>
          <w:numId w:val="43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41,2%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-8,6%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(падіння)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Загалом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намітилися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Наведемо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головні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2.6)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стійка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завдяки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запаси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заборгованість.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0" type="#_x0000_t75" style="width:368.25pt;height:192pt">
            <v:imagedata r:id="rId12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2.6.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рр.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ідентичний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2.6).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говорить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вирішальний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динаміку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завод”.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протягом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(переважно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незавершеного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будівництва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залишкової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засобів.</w:t>
      </w:r>
      <w:r w:rsidR="009D50E8">
        <w:rPr>
          <w:color w:val="auto"/>
          <w:szCs w:val="28"/>
          <w:lang w:val="uk-UA"/>
        </w:rPr>
        <w:t xml:space="preserve"> 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1" type="#_x0000_t75" style="width:369.75pt;height:135.75pt">
            <v:imagedata r:id="rId13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4,7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раз.</w: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Доречним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показників-індикаторів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методикою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Е).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2" type="#_x0000_t75" style="width:378.75pt;height:153.75pt">
            <v:imagedata r:id="rId14" o:title=""/>
          </v:shape>
        </w:pict>
      </w:r>
    </w:p>
    <w:p w:rsidR="003D0B02" w:rsidRPr="00A240B2" w:rsidRDefault="003D0B02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рр.</w:t>
      </w:r>
    </w:p>
    <w:p w:rsidR="003D0B02" w:rsidRP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D0B02"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негайної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(абсолютної)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ліквідності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2.9)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порівняно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початком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6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разів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значного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розміру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(Додаток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Ж).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обидва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змінюються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незначну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величину,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призводить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коефіцієнта.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зменшується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незначну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величину,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,насамперед,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56%.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році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рівня,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більшого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початок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один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майже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10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разів.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подальше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незначне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негайної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(абсолютної)</w: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ліквідності.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3" type="#_x0000_t75" style="width:336.75pt;height:141pt">
            <v:imagedata r:id="rId15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2.9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(абсолютної)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ліквідності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Незважаючи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свідчить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найближчим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зобов’язаннями.</w: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Враховуючи,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2.10)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1,0-3,0,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обігових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говорить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залишається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кредитоспроможним.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зростає,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використовуючи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трендового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періодах.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4" type="#_x0000_t75" style="width:345pt;height:150.75pt">
            <v:imagedata r:id="rId16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проміжний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2.11)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допустимих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свідчить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недостатньо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зросла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неефективне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частковим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еквівалентів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1166%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зобов’язань.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5" type="#_x0000_t75" style="width:369pt;height:123pt">
            <v:imagedata r:id="rId17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Проміжний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Загалом,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2.12)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молокозавод»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2002-2006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слідуючи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особливості:</w:t>
      </w:r>
    </w:p>
    <w:p w:rsidR="003D0B02" w:rsidRPr="00A240B2" w:rsidRDefault="003D0B02" w:rsidP="00A240B2">
      <w:pPr>
        <w:keepNext/>
        <w:widowControl w:val="0"/>
        <w:numPr>
          <w:ilvl w:val="0"/>
          <w:numId w:val="44"/>
        </w:numPr>
        <w:shd w:val="clear" w:color="auto" w:fill="auto"/>
        <w:tabs>
          <w:tab w:val="left" w:pos="3840"/>
        </w:tabs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знаходяться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допустимих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межах;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зобов’язання;</w:t>
      </w:r>
    </w:p>
    <w:p w:rsidR="003D0B02" w:rsidRPr="00A240B2" w:rsidRDefault="003D0B02" w:rsidP="00A240B2">
      <w:pPr>
        <w:keepNext/>
        <w:widowControl w:val="0"/>
        <w:numPr>
          <w:ilvl w:val="0"/>
          <w:numId w:val="44"/>
        </w:numPr>
        <w:shd w:val="clear" w:color="auto" w:fill="auto"/>
        <w:tabs>
          <w:tab w:val="left" w:pos="3840"/>
        </w:tabs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зменшуються,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понижує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можливості;</w:t>
      </w:r>
    </w:p>
    <w:p w:rsidR="003D0B02" w:rsidRPr="00A240B2" w:rsidRDefault="003D0B02" w:rsidP="00A240B2">
      <w:pPr>
        <w:keepNext/>
        <w:widowControl w:val="0"/>
        <w:numPr>
          <w:ilvl w:val="0"/>
          <w:numId w:val="44"/>
        </w:numPr>
        <w:shd w:val="clear" w:color="auto" w:fill="auto"/>
        <w:tabs>
          <w:tab w:val="left" w:pos="3840"/>
        </w:tabs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зростає;</w:t>
      </w:r>
    </w:p>
    <w:p w:rsidR="003D0B02" w:rsidRPr="00A240B2" w:rsidRDefault="003D0B02" w:rsidP="00A240B2">
      <w:pPr>
        <w:keepNext/>
        <w:widowControl w:val="0"/>
        <w:numPr>
          <w:ilvl w:val="0"/>
          <w:numId w:val="44"/>
        </w:numPr>
        <w:shd w:val="clear" w:color="auto" w:fill="auto"/>
        <w:tabs>
          <w:tab w:val="left" w:pos="3840"/>
        </w:tabs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проміжний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2,76%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41,05%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зменшилися).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пояснити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27,93%,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збільшилися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31,49%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повільне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Проміжний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пов’язано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(-22,53%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22,53%)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27,93%).</w:t>
      </w:r>
    </w:p>
    <w:p w:rsidR="003D0B02" w:rsidRPr="00A240B2" w:rsidRDefault="003D0B02" w:rsidP="00A240B2">
      <w:pPr>
        <w:keepNext/>
        <w:widowControl w:val="0"/>
        <w:numPr>
          <w:ilvl w:val="0"/>
          <w:numId w:val="44"/>
        </w:numPr>
        <w:shd w:val="clear" w:color="auto" w:fill="auto"/>
        <w:tabs>
          <w:tab w:val="left" w:pos="3840"/>
        </w:tabs>
        <w:ind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збільшуються,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проміжний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покриття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нижче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цієї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межі,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свідчить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найближчим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часом.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36" type="#_x0000_t75" style="width:421.5pt;height:163.5pt">
            <v:imagedata r:id="rId18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</w:p>
    <w:p w:rsid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</w:p>
    <w:p w:rsidR="003D0B0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одиниці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2.13)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позиковими.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3-у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2-го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11,47%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149,75%,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стабільний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означати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ріст.</w:t>
      </w:r>
    </w:p>
    <w:p w:rsidR="003D0B02" w:rsidRP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E2EDE">
        <w:rPr>
          <w:color w:val="auto"/>
          <w:szCs w:val="28"/>
          <w:lang w:val="uk-UA"/>
        </w:rPr>
        <w:pict>
          <v:shape id="_x0000_i1037" type="#_x0000_t75" style="width:368.25pt;height:143.25pt">
            <v:imagedata r:id="rId19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лівериджу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Коефіцієнти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автономії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протилежні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побачити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2.14).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0,5,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0,5.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зрушення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0,56%)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0,07%)).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11,47%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149,75%)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валюти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48,83%)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автономії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обігових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2.15)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обігових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підвищується,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явищем,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повернення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з’являється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реінвестування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строки,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чергу,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запорукою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стабільних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5,89%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3,92%,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A240B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E2EDE">
        <w:rPr>
          <w:color w:val="auto"/>
          <w:szCs w:val="28"/>
          <w:lang w:val="uk-UA"/>
        </w:rPr>
        <w:pict>
          <v:shape id="_x0000_i1038" type="#_x0000_t75" style="width:418.5pt;height:135pt">
            <v:imagedata r:id="rId20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38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автономії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спостерігається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31,55%)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74,89%),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ніяких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помітне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падіння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обігових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102,08%)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15,20%).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падіння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викликано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27,93%)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прискорився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24,54%).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зниження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темпів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оборотності.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2.16)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реалізованої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1,40%)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0,6%).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71,32%)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46,56%)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відбулося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4,08%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3%.</w:t>
      </w:r>
      <w:r w:rsidR="009D50E8">
        <w:rPr>
          <w:color w:val="auto"/>
          <w:szCs w:val="28"/>
          <w:lang w:val="uk-UA"/>
        </w:rPr>
        <w:t xml:space="preserve"> </w:t>
      </w:r>
    </w:p>
    <w:p w:rsidR="003D0B02" w:rsidRP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br w:type="page"/>
      </w:r>
      <w:r w:rsidR="003E2EDE">
        <w:rPr>
          <w:color w:val="auto"/>
          <w:szCs w:val="28"/>
          <w:lang w:val="uk-UA"/>
        </w:rPr>
        <w:pict>
          <v:shape id="_x0000_i1039" type="#_x0000_t75" style="width:399pt;height:153.75pt">
            <v:imagedata r:id="rId21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обігових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розпочата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строків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123,65%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54,72%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12,19%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26,97%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змінюється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протилежну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8,56%)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собівартості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0,14%).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40" type="#_x0000_t75" style="width:368.25pt;height:126pt">
            <v:imagedata r:id="rId22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2.17),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(початок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кінець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зменшилася.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69,63%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збиток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0,2%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11,47%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другому).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третьому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найвищого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аналізується.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збитків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перевищення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(995,3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збитків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періоду).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збільшився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1,08%.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шостому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внаслідок:</w:t>
      </w:r>
    </w:p>
    <w:p w:rsidR="003D0B02" w:rsidRPr="00A240B2" w:rsidRDefault="003D0B02" w:rsidP="00A240B2">
      <w:pPr>
        <w:keepNext/>
        <w:widowControl w:val="0"/>
        <w:numPr>
          <w:ilvl w:val="0"/>
          <w:numId w:val="45"/>
        </w:numPr>
        <w:shd w:val="clear" w:color="auto" w:fill="auto"/>
        <w:tabs>
          <w:tab w:val="left" w:pos="1875"/>
        </w:tabs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постійного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68,8%,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46%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41,2%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шостому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відповідно);</w:t>
      </w:r>
    </w:p>
    <w:p w:rsidR="003D0B02" w:rsidRPr="00A240B2" w:rsidRDefault="003D0B02" w:rsidP="00A240B2">
      <w:pPr>
        <w:keepNext/>
        <w:widowControl w:val="0"/>
        <w:numPr>
          <w:ilvl w:val="0"/>
          <w:numId w:val="45"/>
        </w:numPr>
        <w:shd w:val="clear" w:color="auto" w:fill="auto"/>
        <w:tabs>
          <w:tab w:val="left" w:pos="1875"/>
        </w:tabs>
        <w:ind w:left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2,95%,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5,40%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35,93%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четвертому,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шостому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відповідно.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41" type="#_x0000_t75" style="width:431.25pt;height:189.75pt">
            <v:imagedata r:id="rId23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2.17.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(рис.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2.18),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обсязі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реалізованої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завдяки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49,49%)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3,92%).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трьох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200,66%,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81,99%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47%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74,89%,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15,20%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стабільного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п’ятому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переходить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падіння,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24,56%)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валового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4,85%).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змінюється.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Проаналізувавши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відбуватиметься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показника.</w:t>
      </w:r>
    </w:p>
    <w:p w:rsidR="00F8295C" w:rsidRPr="00A240B2" w:rsidRDefault="00F8295C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F8295C" w:rsidRPr="00A240B2" w:rsidRDefault="00F8295C" w:rsidP="00A240B2">
      <w:pPr>
        <w:pStyle w:val="2"/>
        <w:widowControl w:val="0"/>
        <w:spacing w:before="0" w:after="0"/>
        <w:jc w:val="both"/>
        <w:rPr>
          <w:color w:val="auto"/>
          <w:lang w:val="uk-UA"/>
        </w:rPr>
      </w:pPr>
      <w:r w:rsidRPr="00A240B2">
        <w:rPr>
          <w:color w:val="auto"/>
          <w:lang w:val="uk-UA"/>
        </w:rPr>
        <w:t>2.2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Діагностика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ймовірності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банкрутства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на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підприємстві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ВАТ</w:t>
      </w:r>
      <w:r w:rsidR="009D50E8">
        <w:rPr>
          <w:color w:val="auto"/>
          <w:lang w:val="uk-UA"/>
        </w:rPr>
        <w:t xml:space="preserve"> «</w:t>
      </w:r>
      <w:r w:rsidRPr="00A240B2">
        <w:rPr>
          <w:color w:val="auto"/>
          <w:lang w:val="uk-UA"/>
        </w:rPr>
        <w:t>Білоцерківський</w:t>
      </w:r>
      <w:r w:rsidR="009D50E8">
        <w:rPr>
          <w:color w:val="auto"/>
          <w:lang w:val="uk-UA"/>
        </w:rPr>
        <w:t xml:space="preserve"> </w:t>
      </w:r>
      <w:r w:rsidRPr="00A240B2">
        <w:rPr>
          <w:color w:val="auto"/>
          <w:lang w:val="uk-UA"/>
        </w:rPr>
        <w:t>молочний</w:t>
      </w:r>
      <w:r w:rsidR="009D50E8">
        <w:rPr>
          <w:color w:val="auto"/>
          <w:lang w:val="uk-UA"/>
        </w:rPr>
        <w:t xml:space="preserve"> завод»</w:t>
      </w:r>
    </w:p>
    <w:p w:rsidR="00F8295C" w:rsidRPr="00A240B2" w:rsidRDefault="00F8295C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Ідентифікація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типу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підставі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рекомендацій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приховування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фіктивного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затверджені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наказом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Міністерства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січня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№10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[8].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42" type="#_x0000_t75" style="width:414.75pt;height:175.5pt">
            <v:imagedata r:id="rId24" o:title=""/>
          </v:shape>
        </w:pic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Рис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2.18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Питома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вага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обсязі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реалізованої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Економічним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простроченої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сумою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еквівалентів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високоліквідних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визначаються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формулою: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43" type="#_x0000_t75" style="width:210pt;height:18pt">
            <v:imagedata r:id="rId25" o:title=""/>
          </v:shape>
        </w:pic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,</w:t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  <w:t>(2.1)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_а</w:t>
      </w:r>
      <w:r w:rsidR="009D50E8">
        <w:rPr>
          <w:i/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підприємства;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i/>
          <w:color w:val="auto"/>
          <w:szCs w:val="28"/>
          <w:lang w:val="uk-UA"/>
        </w:rPr>
        <w:t>А</w:t>
      </w:r>
      <w:r w:rsidRPr="00A240B2">
        <w:rPr>
          <w:i/>
          <w:color w:val="auto"/>
          <w:szCs w:val="28"/>
          <w:vertAlign w:val="subscript"/>
          <w:lang w:val="uk-UA"/>
        </w:rPr>
        <w:t>040</w:t>
      </w:r>
      <w:r w:rsidRPr="00A240B2">
        <w:rPr>
          <w:i/>
          <w:color w:val="auto"/>
          <w:szCs w:val="28"/>
          <w:lang w:val="uk-UA"/>
        </w:rPr>
        <w:t>,</w:t>
      </w:r>
      <w:r w:rsidR="009D50E8">
        <w:rPr>
          <w:i/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А</w:t>
      </w:r>
      <w:r w:rsidRPr="00A240B2">
        <w:rPr>
          <w:i/>
          <w:color w:val="auto"/>
          <w:szCs w:val="28"/>
          <w:vertAlign w:val="subscript"/>
          <w:lang w:val="uk-UA"/>
        </w:rPr>
        <w:t>045</w:t>
      </w:r>
      <w:r w:rsidRPr="00A240B2">
        <w:rPr>
          <w:i/>
          <w:color w:val="auto"/>
          <w:szCs w:val="28"/>
          <w:lang w:val="uk-UA"/>
        </w:rPr>
        <w:t>,</w:t>
      </w:r>
      <w:r w:rsidR="009D50E8">
        <w:rPr>
          <w:i/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А</w:t>
      </w:r>
      <w:r w:rsidRPr="00A240B2">
        <w:rPr>
          <w:i/>
          <w:color w:val="auto"/>
          <w:szCs w:val="28"/>
          <w:vertAlign w:val="subscript"/>
          <w:lang w:val="uk-UA"/>
        </w:rPr>
        <w:t>220</w:t>
      </w:r>
      <w:r w:rsidRPr="00A240B2">
        <w:rPr>
          <w:i/>
          <w:color w:val="auto"/>
          <w:szCs w:val="28"/>
          <w:lang w:val="uk-UA"/>
        </w:rPr>
        <w:t>,</w:t>
      </w:r>
      <w:r w:rsidR="009D50E8">
        <w:rPr>
          <w:i/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А</w:t>
      </w:r>
      <w:r w:rsidRPr="00A240B2">
        <w:rPr>
          <w:i/>
          <w:color w:val="auto"/>
          <w:szCs w:val="28"/>
          <w:vertAlign w:val="subscript"/>
          <w:lang w:val="uk-UA"/>
        </w:rPr>
        <w:t>230</w:t>
      </w:r>
      <w:r w:rsidRPr="00A240B2">
        <w:rPr>
          <w:i/>
          <w:color w:val="auto"/>
          <w:szCs w:val="28"/>
          <w:lang w:val="uk-UA"/>
        </w:rPr>
        <w:t>,</w:t>
      </w:r>
      <w:r w:rsidR="009D50E8">
        <w:rPr>
          <w:i/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А</w:t>
      </w:r>
      <w:r w:rsidRPr="00A240B2">
        <w:rPr>
          <w:i/>
          <w:color w:val="auto"/>
          <w:szCs w:val="28"/>
          <w:vertAlign w:val="subscript"/>
          <w:lang w:val="uk-UA"/>
        </w:rPr>
        <w:t>240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рядки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балансу;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i/>
          <w:color w:val="auto"/>
          <w:szCs w:val="28"/>
          <w:lang w:val="uk-UA"/>
        </w:rPr>
        <w:t>П</w:t>
      </w:r>
      <w:r w:rsidRPr="00A240B2">
        <w:rPr>
          <w:i/>
          <w:color w:val="auto"/>
          <w:szCs w:val="28"/>
          <w:vertAlign w:val="subscript"/>
          <w:lang w:val="uk-UA"/>
        </w:rPr>
        <w:t>620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підсумок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IV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розділу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пасиву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балансу.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(2.1)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розрахуємо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завод»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закінчення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років</w:t>
      </w:r>
      <w:r w:rsidR="009D50E8">
        <w:rPr>
          <w:color w:val="auto"/>
          <w:szCs w:val="28"/>
          <w:lang w:val="uk-UA"/>
        </w:rPr>
        <w:t>.</w:t>
      </w:r>
    </w:p>
    <w:p w:rsidR="00A240B2" w:rsidRDefault="00A240B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2.1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</w:tblGrid>
      <w:tr w:rsidR="003D0B02" w:rsidRPr="00A240B2">
        <w:trPr>
          <w:trHeight w:val="240"/>
        </w:trPr>
        <w:tc>
          <w:tcPr>
            <w:tcW w:w="1980" w:type="dxa"/>
            <w:vMerge w:val="restart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160" w:type="dxa"/>
            <w:gridSpan w:val="2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2002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2003</w:t>
            </w:r>
          </w:p>
        </w:tc>
        <w:tc>
          <w:tcPr>
            <w:tcW w:w="2160" w:type="dxa"/>
            <w:gridSpan w:val="2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2004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2006</w:t>
            </w:r>
          </w:p>
        </w:tc>
      </w:tr>
      <w:tr w:rsidR="003D0B02" w:rsidRPr="00A240B2">
        <w:trPr>
          <w:trHeight w:val="180"/>
        </w:trPr>
        <w:tc>
          <w:tcPr>
            <w:tcW w:w="1980" w:type="dxa"/>
            <w:vMerge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</w:tr>
      <w:tr w:rsidR="003D0B02" w:rsidRPr="00A240B2" w:rsidTr="00A240B2">
        <w:trPr>
          <w:trHeight w:val="727"/>
        </w:trPr>
        <w:tc>
          <w:tcPr>
            <w:tcW w:w="19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платоспроможність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0,263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0,142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0,018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0,017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0,065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0,088</w:t>
            </w:r>
          </w:p>
        </w:tc>
      </w:tr>
    </w:tbl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Слід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зазначити,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ідентичні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(абсолютної)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ліквідності,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свідчить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враховуючи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відмінності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розрахунках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відрізнятися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молокозаводі.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вважається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рекомендацій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[8],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розрахованого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(2.1)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нуль.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від’ємного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свідчить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частиною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боргів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будь-який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найнижчому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після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поступово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підіймається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підійматися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надалі.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Методичними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рекомендаціями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запропоновано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проводити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систематичний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У.Бівера,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розраховується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формулою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(2.2).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E2EDE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pict>
          <v:shape id="_x0000_i1044" type="#_x0000_t75" style="width:90pt;height:35.25pt">
            <v:imagedata r:id="rId26" o:title=""/>
          </v:shape>
        </w:pict>
      </w:r>
      <w:r w:rsidR="009D50E8">
        <w:rPr>
          <w:color w:val="auto"/>
          <w:szCs w:val="28"/>
          <w:lang w:val="uk-UA"/>
        </w:rPr>
        <w:t xml:space="preserve"> </w:t>
      </w:r>
      <w:r w:rsidR="003D0B02" w:rsidRPr="00A240B2">
        <w:rPr>
          <w:color w:val="auto"/>
          <w:szCs w:val="28"/>
          <w:lang w:val="uk-UA"/>
        </w:rPr>
        <w:t>,</w:t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</w:r>
      <w:r w:rsidR="003D0B02" w:rsidRPr="00A240B2">
        <w:rPr>
          <w:color w:val="auto"/>
          <w:szCs w:val="28"/>
          <w:lang w:val="uk-UA"/>
        </w:rPr>
        <w:tab/>
        <w:t>(2.2)</w:t>
      </w:r>
    </w:p>
    <w:p w:rsidR="003D0B02" w:rsidRPr="00A240B2" w:rsidRDefault="003D0B02" w:rsidP="00A240B2">
      <w:pPr>
        <w:keepNext/>
        <w:widowControl w:val="0"/>
        <w:tabs>
          <w:tab w:val="left" w:pos="1875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Кб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ab/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Бівера;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i/>
          <w:color w:val="auto"/>
          <w:szCs w:val="28"/>
          <w:lang w:val="uk-UA"/>
        </w:rPr>
        <w:t>Ф</w:t>
      </w:r>
      <w:r w:rsidRPr="00A240B2">
        <w:rPr>
          <w:i/>
          <w:color w:val="auto"/>
          <w:szCs w:val="28"/>
          <w:vertAlign w:val="subscript"/>
          <w:lang w:val="uk-UA"/>
        </w:rPr>
        <w:t>220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Ф</w:t>
      </w:r>
      <w:r w:rsidRPr="00A240B2">
        <w:rPr>
          <w:i/>
          <w:color w:val="auto"/>
          <w:szCs w:val="28"/>
          <w:vertAlign w:val="subscript"/>
          <w:lang w:val="uk-UA"/>
        </w:rPr>
        <w:t>260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амортизація,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наведені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рядках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220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260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№2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Звіт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фінансові</w:t>
      </w:r>
      <w:r w:rsidR="009D50E8">
        <w:rPr>
          <w:color w:val="auto"/>
          <w:szCs w:val="28"/>
          <w:lang w:val="uk-UA"/>
        </w:rPr>
        <w:tab/>
        <w:t>результати»</w:t>
      </w:r>
      <w:r w:rsidRPr="00A240B2">
        <w:rPr>
          <w:color w:val="auto"/>
          <w:szCs w:val="28"/>
          <w:lang w:val="uk-UA"/>
        </w:rPr>
        <w:t>;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i/>
          <w:color w:val="auto"/>
          <w:szCs w:val="28"/>
          <w:lang w:val="uk-UA"/>
        </w:rPr>
        <w:t>П</w:t>
      </w:r>
      <w:r w:rsidRPr="00A240B2">
        <w:rPr>
          <w:i/>
          <w:color w:val="auto"/>
          <w:szCs w:val="28"/>
          <w:vertAlign w:val="subscript"/>
          <w:lang w:val="uk-UA"/>
        </w:rPr>
        <w:t>480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i/>
          <w:color w:val="auto"/>
          <w:szCs w:val="28"/>
          <w:lang w:val="uk-UA"/>
        </w:rPr>
        <w:t>П</w:t>
      </w:r>
      <w:r w:rsidRPr="00A240B2">
        <w:rPr>
          <w:i/>
          <w:color w:val="auto"/>
          <w:szCs w:val="28"/>
          <w:vertAlign w:val="subscript"/>
          <w:lang w:val="uk-UA"/>
        </w:rPr>
        <w:t>620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зобов’язання,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наведені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рядках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480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620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№1</w:t>
      </w:r>
      <w:r w:rsidR="009D50E8">
        <w:rPr>
          <w:color w:val="auto"/>
          <w:szCs w:val="28"/>
          <w:lang w:val="uk-UA"/>
        </w:rPr>
        <w:t xml:space="preserve"> «Баланс»</w:t>
      </w:r>
      <w:r w:rsidRPr="00A240B2">
        <w:rPr>
          <w:color w:val="auto"/>
          <w:szCs w:val="28"/>
          <w:lang w:val="uk-UA"/>
        </w:rPr>
        <w:t>.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У.Бівера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наведених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[37,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222]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2.2).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наведений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2.3).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2.2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Бівера</w:t>
      </w:r>
    </w:p>
    <w:tbl>
      <w:tblPr>
        <w:tblpPr w:vertAnchor="text" w:tblpXSpec="center" w:tblpY="1"/>
        <w:tblOverlap w:val="never"/>
        <w:tblW w:w="8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0"/>
        <w:gridCol w:w="2133"/>
        <w:gridCol w:w="2061"/>
        <w:gridCol w:w="2043"/>
      </w:tblGrid>
      <w:tr w:rsidR="003D0B02" w:rsidRPr="00A240B2">
        <w:trPr>
          <w:trHeight w:val="261"/>
        </w:trPr>
        <w:tc>
          <w:tcPr>
            <w:tcW w:w="1930" w:type="dxa"/>
            <w:vMerge w:val="restart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6237" w:type="dxa"/>
            <w:gridSpan w:val="3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</w:t>
            </w:r>
          </w:p>
        </w:tc>
      </w:tr>
      <w:tr w:rsidR="003D0B02" w:rsidRPr="00A240B2">
        <w:trPr>
          <w:trHeight w:val="131"/>
        </w:trPr>
        <w:tc>
          <w:tcPr>
            <w:tcW w:w="1930" w:type="dxa"/>
            <w:vMerge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33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благополучного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підприємства</w:t>
            </w:r>
          </w:p>
        </w:tc>
        <w:tc>
          <w:tcPr>
            <w:tcW w:w="2061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5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років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банкрутства</w:t>
            </w:r>
          </w:p>
        </w:tc>
        <w:tc>
          <w:tcPr>
            <w:tcW w:w="2043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1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рік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банкрутства</w:t>
            </w:r>
          </w:p>
        </w:tc>
      </w:tr>
      <w:tr w:rsidR="003D0B02" w:rsidRPr="00A240B2" w:rsidTr="00A240B2">
        <w:trPr>
          <w:trHeight w:val="494"/>
        </w:trPr>
        <w:tc>
          <w:tcPr>
            <w:tcW w:w="193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У.Бівера</w:t>
            </w:r>
          </w:p>
        </w:tc>
        <w:tc>
          <w:tcPr>
            <w:tcW w:w="2133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0,4-0,45</w:t>
            </w:r>
          </w:p>
        </w:tc>
        <w:tc>
          <w:tcPr>
            <w:tcW w:w="2061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0,17</w:t>
            </w:r>
          </w:p>
        </w:tc>
        <w:tc>
          <w:tcPr>
            <w:tcW w:w="2043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-0,15</w:t>
            </w:r>
          </w:p>
        </w:tc>
      </w:tr>
    </w:tbl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2.3)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враховуючи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нормативні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2.2)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загрожувало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розмірі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173,2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Незважаючи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починає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початку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внаслідок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Беручи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постійний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чистого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грошових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коефіцієнта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У.Бівера,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ріст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останнього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продовжиться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хоча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молокозаводу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загрожує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через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час.</w:t>
      </w:r>
    </w:p>
    <w:p w:rsidR="00A240B2" w:rsidRDefault="00A240B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2.3</w:t>
      </w: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Коефіцієнт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Бівера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завод»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80"/>
        <w:gridCol w:w="1080"/>
        <w:gridCol w:w="1080"/>
        <w:gridCol w:w="1080"/>
        <w:gridCol w:w="1080"/>
        <w:gridCol w:w="1080"/>
        <w:gridCol w:w="1080"/>
      </w:tblGrid>
      <w:tr w:rsidR="003D0B02" w:rsidRPr="00A240B2">
        <w:trPr>
          <w:trHeight w:val="240"/>
        </w:trPr>
        <w:tc>
          <w:tcPr>
            <w:tcW w:w="1980" w:type="dxa"/>
            <w:vMerge w:val="restart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Роки</w:t>
            </w:r>
          </w:p>
        </w:tc>
        <w:tc>
          <w:tcPr>
            <w:tcW w:w="2160" w:type="dxa"/>
            <w:gridSpan w:val="2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2002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2003</w:t>
            </w:r>
          </w:p>
        </w:tc>
        <w:tc>
          <w:tcPr>
            <w:tcW w:w="2160" w:type="dxa"/>
            <w:gridSpan w:val="2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2004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2006</w:t>
            </w:r>
          </w:p>
        </w:tc>
      </w:tr>
      <w:tr w:rsidR="003D0B02" w:rsidRPr="00A240B2">
        <w:trPr>
          <w:trHeight w:val="180"/>
        </w:trPr>
        <w:tc>
          <w:tcPr>
            <w:tcW w:w="1980" w:type="dxa"/>
            <w:vMerge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</w:tr>
      <w:tr w:rsidR="003D0B02" w:rsidRPr="00A240B2">
        <w:trPr>
          <w:trHeight w:val="495"/>
        </w:trPr>
        <w:tc>
          <w:tcPr>
            <w:tcW w:w="19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платоспроможність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0,628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0,104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-0,148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0,394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0,205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0,156</w:t>
            </w:r>
          </w:p>
        </w:tc>
        <w:tc>
          <w:tcPr>
            <w:tcW w:w="1080" w:type="dxa"/>
            <w:vAlign w:val="center"/>
          </w:tcPr>
          <w:p w:rsidR="003D0B02" w:rsidRPr="00A240B2" w:rsidRDefault="003D0B02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0,231</w:t>
            </w:r>
          </w:p>
        </w:tc>
      </w:tr>
    </w:tbl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</w:p>
    <w:p w:rsidR="003D0B02" w:rsidRPr="00A240B2" w:rsidRDefault="003D0B02" w:rsidP="00A240B2">
      <w:pPr>
        <w:keepNext/>
        <w:widowControl w:val="0"/>
        <w:tabs>
          <w:tab w:val="left" w:pos="288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Дослідивши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проаналізувавши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завод»</w:t>
      </w:r>
      <w:r w:rsidRPr="00A240B2">
        <w:rPr>
          <w:color w:val="auto"/>
          <w:szCs w:val="28"/>
          <w:lang w:val="uk-UA"/>
        </w:rPr>
        <w:t>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висновки: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rStyle w:val="FontStyle17"/>
          <w:bCs/>
          <w:sz w:val="28"/>
          <w:szCs w:val="28"/>
          <w:lang w:val="uk-UA"/>
        </w:rPr>
      </w:pPr>
      <w:r w:rsidRPr="00A240B2">
        <w:rPr>
          <w:rStyle w:val="FontStyle17"/>
          <w:bCs/>
          <w:sz w:val="28"/>
          <w:szCs w:val="28"/>
          <w:lang w:val="uk-UA"/>
        </w:rPr>
        <w:t>Основним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методом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попередження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кризових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явищ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аналіз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внутрішнього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зовнішнього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середовища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організації.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Основними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методами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аналізу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читання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звітності,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горизонтальний,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вертикальний,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трендовий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аналіз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аналіз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фінансових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коефіцієнтів.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rStyle w:val="FontStyle17"/>
          <w:bCs/>
          <w:sz w:val="28"/>
          <w:szCs w:val="28"/>
          <w:lang w:val="uk-UA"/>
        </w:rPr>
      </w:pPr>
      <w:r w:rsidRPr="00A240B2">
        <w:rPr>
          <w:rStyle w:val="FontStyle17"/>
          <w:bCs/>
          <w:sz w:val="28"/>
          <w:szCs w:val="28"/>
          <w:lang w:val="uk-UA"/>
        </w:rPr>
        <w:t>Оборотні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активи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підприємстві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мають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тенденцію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збільшення.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Незначне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їх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зростання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2005-2006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роках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наслідком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значного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зменшення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запасів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готової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продукції,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що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позитивним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фактором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діяльності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підприємства,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адже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може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запобігти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псуванню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продукції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через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довгий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строк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зберігання;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розрахунку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дебіторською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заборгованістю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із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бюджетом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значного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збільшення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дебіторської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заборгованості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виданими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авансами,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наслідком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чого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зменшення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фінансових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можливостей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підприємства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внаслідок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зменшення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грошових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коштів.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rStyle w:val="FontStyle17"/>
          <w:bCs/>
          <w:sz w:val="28"/>
          <w:szCs w:val="28"/>
          <w:lang w:val="uk-UA"/>
        </w:rPr>
      </w:pPr>
      <w:r w:rsidRPr="00A240B2">
        <w:rPr>
          <w:rStyle w:val="FontStyle17"/>
          <w:bCs/>
          <w:sz w:val="28"/>
          <w:szCs w:val="28"/>
          <w:lang w:val="uk-UA"/>
        </w:rPr>
        <w:t>Необоротні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активи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період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2002-2006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роки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зросли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4,7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разів,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що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більшим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ріст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оборотних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активів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(у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3,2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рази).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Це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свідчить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вкладання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коштів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підприємством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мало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ліквідні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основні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засоби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стратегічну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направленість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ВАТ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="0051271D">
        <w:rPr>
          <w:rStyle w:val="FontStyle17"/>
          <w:sz w:val="28"/>
          <w:szCs w:val="28"/>
          <w:lang w:val="uk-UA"/>
        </w:rPr>
        <w:t>«</w:t>
      </w:r>
      <w:r w:rsidRPr="00A240B2">
        <w:rPr>
          <w:rStyle w:val="FontStyle17"/>
          <w:sz w:val="28"/>
          <w:szCs w:val="28"/>
          <w:lang w:val="uk-UA"/>
        </w:rPr>
        <w:t>Білоцерківський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молочний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="0051271D">
        <w:rPr>
          <w:rStyle w:val="FontStyle17"/>
          <w:sz w:val="28"/>
          <w:szCs w:val="28"/>
          <w:lang w:val="uk-UA"/>
        </w:rPr>
        <w:t>завод»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довгостроковій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перспективі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розширення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виробництва.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rStyle w:val="FontStyle17"/>
          <w:bCs/>
          <w:sz w:val="28"/>
          <w:szCs w:val="28"/>
          <w:lang w:val="uk-UA"/>
        </w:rPr>
      </w:pPr>
      <w:r w:rsidRPr="00A240B2">
        <w:rPr>
          <w:rStyle w:val="FontStyle17"/>
          <w:sz w:val="28"/>
          <w:szCs w:val="28"/>
          <w:lang w:val="uk-UA"/>
        </w:rPr>
        <w:t>За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останні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5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років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існує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постійна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тенденція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збільшення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чистого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прибутку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заводі.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Це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дає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можливість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розвитку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видів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виробництва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(вирощування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сільськогосподарських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культур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ВАТ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="0051271D">
        <w:rPr>
          <w:rStyle w:val="FontStyle17"/>
          <w:sz w:val="28"/>
          <w:szCs w:val="28"/>
          <w:lang w:val="uk-UA"/>
        </w:rPr>
        <w:t>«</w:t>
      </w:r>
      <w:r w:rsidRPr="00A240B2">
        <w:rPr>
          <w:rStyle w:val="FontStyle17"/>
          <w:sz w:val="28"/>
          <w:szCs w:val="28"/>
          <w:lang w:val="uk-UA"/>
        </w:rPr>
        <w:t>Білоцерківський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Pr="00A240B2">
        <w:rPr>
          <w:rStyle w:val="FontStyle17"/>
          <w:sz w:val="28"/>
          <w:szCs w:val="28"/>
          <w:lang w:val="uk-UA"/>
        </w:rPr>
        <w:t>молочний</w:t>
      </w:r>
      <w:r w:rsidR="009D50E8">
        <w:rPr>
          <w:rStyle w:val="FontStyle17"/>
          <w:sz w:val="28"/>
          <w:szCs w:val="28"/>
          <w:lang w:val="uk-UA"/>
        </w:rPr>
        <w:t xml:space="preserve"> </w:t>
      </w:r>
      <w:r w:rsidR="0051271D">
        <w:rPr>
          <w:rStyle w:val="FontStyle17"/>
          <w:sz w:val="28"/>
          <w:szCs w:val="28"/>
          <w:lang w:val="uk-UA"/>
        </w:rPr>
        <w:t>завод»</w:t>
      </w:r>
      <w:r w:rsidRPr="00A240B2">
        <w:rPr>
          <w:rStyle w:val="FontStyle17"/>
          <w:sz w:val="28"/>
          <w:szCs w:val="28"/>
          <w:lang w:val="uk-UA"/>
        </w:rPr>
        <w:t>)</w:t>
      </w:r>
      <w:r w:rsidRPr="00A240B2">
        <w:rPr>
          <w:rStyle w:val="FontStyle17"/>
          <w:bCs/>
          <w:sz w:val="28"/>
          <w:szCs w:val="28"/>
          <w:lang w:val="uk-UA"/>
        </w:rPr>
        <w:t>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своєчасної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виплати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заборгованості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кредиторам,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більші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можливості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виходу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із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_а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без_ої_чуваних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ситуацій.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rStyle w:val="FontStyle17"/>
          <w:bCs/>
          <w:sz w:val="28"/>
          <w:szCs w:val="28"/>
          <w:lang w:val="uk-UA"/>
        </w:rPr>
      </w:pPr>
      <w:r w:rsidRPr="00A240B2">
        <w:rPr>
          <w:rStyle w:val="FontStyle17"/>
          <w:bCs/>
          <w:sz w:val="28"/>
          <w:szCs w:val="28"/>
          <w:lang w:val="uk-UA"/>
        </w:rPr>
        <w:t>Незважаючи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ріст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прибутку,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2003-2004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роках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показники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платоспроможності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знаходились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надзвичайно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низьких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рівнях,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що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викликано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ростом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поточних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зобов’язань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зменшенням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грошових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коштів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підприємстві.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цьому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періоді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завод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зможе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розрахуватися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своїми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зобов’язаннями.</w:t>
      </w:r>
    </w:p>
    <w:p w:rsidR="003D0B02" w:rsidRPr="00A240B2" w:rsidRDefault="003D0B02" w:rsidP="00A240B2">
      <w:pPr>
        <w:pStyle w:val="Style5"/>
        <w:keepNext/>
        <w:numPr>
          <w:ilvl w:val="0"/>
          <w:numId w:val="46"/>
        </w:numPr>
        <w:tabs>
          <w:tab w:val="left" w:pos="468"/>
        </w:tabs>
        <w:spacing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2005-2006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роках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ситуація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заводі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починає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стабілізуватися,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хоча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зросли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поточні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зобов’язання.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Використовуючи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метод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трендового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аналізу,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можна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прогнозувати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зростання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платоспроможності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наступних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періодах,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хоча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не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виключені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й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зміни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ситуації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гіршу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сторону,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як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у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2003-2004</w:t>
      </w:r>
      <w:r w:rsidR="009D50E8">
        <w:rPr>
          <w:rStyle w:val="FontStyle17"/>
          <w:bCs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sz w:val="28"/>
          <w:szCs w:val="28"/>
          <w:lang w:val="uk-UA"/>
        </w:rPr>
        <w:t>роках.</w:t>
      </w:r>
    </w:p>
    <w:p w:rsidR="008C083E" w:rsidRPr="00A240B2" w:rsidRDefault="008C083E" w:rsidP="00A240B2">
      <w:pPr>
        <w:keepNext/>
        <w:widowControl w:val="0"/>
        <w:rPr>
          <w:color w:val="auto"/>
          <w:lang w:val="uk-UA"/>
        </w:rPr>
      </w:pPr>
    </w:p>
    <w:p w:rsidR="00587DC9" w:rsidRPr="00A240B2" w:rsidRDefault="008C083E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br w:type="page"/>
      </w:r>
      <w:bookmarkStart w:id="28" w:name="_Toc229126181"/>
      <w:r w:rsidR="00587DC9" w:rsidRPr="00A240B2">
        <w:rPr>
          <w:color w:val="auto"/>
          <w:sz w:val="28"/>
          <w:lang w:val="uk-UA"/>
        </w:rPr>
        <w:t>Розділ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3.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Шляхи</w:t>
      </w:r>
      <w:r w:rsidR="009D50E8">
        <w:rPr>
          <w:color w:val="auto"/>
          <w:sz w:val="28"/>
          <w:lang w:val="uk-UA"/>
        </w:rPr>
        <w:t xml:space="preserve"> </w:t>
      </w:r>
      <w:r w:rsidR="00587DC9" w:rsidRPr="00A240B2">
        <w:rPr>
          <w:color w:val="auto"/>
          <w:sz w:val="28"/>
          <w:lang w:val="uk-UA"/>
        </w:rPr>
        <w:t>подолання</w:t>
      </w:r>
      <w:r w:rsidR="009D50E8">
        <w:rPr>
          <w:color w:val="auto"/>
          <w:sz w:val="28"/>
          <w:lang w:val="uk-UA"/>
        </w:rPr>
        <w:t xml:space="preserve"> </w:t>
      </w:r>
      <w:r w:rsidR="00370730" w:rsidRPr="00A240B2">
        <w:rPr>
          <w:color w:val="auto"/>
          <w:sz w:val="28"/>
          <w:lang w:val="uk-UA"/>
        </w:rPr>
        <w:t>стану</w:t>
      </w:r>
      <w:r w:rsidR="009D50E8">
        <w:rPr>
          <w:color w:val="auto"/>
          <w:sz w:val="28"/>
          <w:lang w:val="uk-UA"/>
        </w:rPr>
        <w:t xml:space="preserve"> </w:t>
      </w:r>
      <w:r w:rsidR="00370730" w:rsidRPr="00A240B2">
        <w:rPr>
          <w:color w:val="auto"/>
          <w:sz w:val="28"/>
          <w:lang w:val="uk-UA"/>
        </w:rPr>
        <w:t>банкротства</w:t>
      </w:r>
      <w:r w:rsidR="009D50E8">
        <w:rPr>
          <w:color w:val="auto"/>
          <w:sz w:val="28"/>
          <w:lang w:val="uk-UA"/>
        </w:rPr>
        <w:t xml:space="preserve"> </w:t>
      </w:r>
      <w:r w:rsidR="00370730" w:rsidRPr="00A240B2">
        <w:rPr>
          <w:color w:val="auto"/>
          <w:sz w:val="28"/>
          <w:lang w:val="uk-UA"/>
        </w:rPr>
        <w:t>на</w:t>
      </w:r>
      <w:r w:rsidR="009D50E8">
        <w:rPr>
          <w:color w:val="auto"/>
          <w:sz w:val="28"/>
          <w:lang w:val="uk-UA"/>
        </w:rPr>
        <w:t xml:space="preserve"> </w:t>
      </w:r>
      <w:r w:rsidR="00370730" w:rsidRPr="00A240B2">
        <w:rPr>
          <w:color w:val="auto"/>
          <w:sz w:val="28"/>
          <w:lang w:val="uk-UA"/>
        </w:rPr>
        <w:t>підприємстві</w:t>
      </w:r>
      <w:bookmarkEnd w:id="28"/>
    </w:p>
    <w:p w:rsidR="00A240B2" w:rsidRDefault="00A240B2" w:rsidP="00A240B2">
      <w:pPr>
        <w:keepNext/>
        <w:widowControl w:val="0"/>
        <w:rPr>
          <w:b/>
          <w:color w:val="auto"/>
          <w:szCs w:val="28"/>
          <w:lang w:val="uk-UA"/>
        </w:rPr>
      </w:pPr>
      <w:bookmarkStart w:id="29" w:name="_Toc200535595"/>
      <w:bookmarkStart w:id="30" w:name="_Toc229126182"/>
    </w:p>
    <w:p w:rsidR="008C083E" w:rsidRPr="00A240B2" w:rsidRDefault="008C083E" w:rsidP="00A240B2">
      <w:pPr>
        <w:keepNext/>
        <w:widowControl w:val="0"/>
        <w:rPr>
          <w:b/>
          <w:color w:val="auto"/>
          <w:szCs w:val="28"/>
          <w:lang w:val="uk-UA"/>
        </w:rPr>
      </w:pPr>
      <w:r w:rsidRPr="00A240B2">
        <w:rPr>
          <w:b/>
          <w:color w:val="auto"/>
          <w:szCs w:val="28"/>
          <w:lang w:val="uk-UA"/>
        </w:rPr>
        <w:t>3.1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Вдосконалення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законодавчого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регулювання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банкрутства</w:t>
      </w:r>
      <w:bookmarkEnd w:id="29"/>
      <w:bookmarkEnd w:id="30"/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дозволяє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узгоджувати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сприяючи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вітчизняної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правовідносини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сфері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30.06.99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784-XVI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«Про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[5].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узгодження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проблем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використовують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законодавчі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нормативні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[8,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12-13].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Відповідно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змісту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«Про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фактична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задоволення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вимог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Саме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займає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центральне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зацікавленості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правило,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закінчується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вимагає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подальшого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вдосконалення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аспектів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гармонізації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зацікавлених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осіб.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[5]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містить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положення,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можуть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бути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розцінені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дискримінаційні.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Згідно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окремими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його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положеннями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всі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підприємницькі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організації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можуть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визнаватись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банкрутами,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чим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порушується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один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фундаментальних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принципів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сфері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конкуренції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–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принцип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рівності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усіх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учасників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економічних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відносин.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виключає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казенні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кола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суб’єктів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Також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слід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звернути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увагу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крім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того,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цими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положеннями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фактично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порушує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кредиторів,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самим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створює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умови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захисту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витратних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збиткових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Підприємці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тут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мають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усі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підстави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говорити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правила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конкуренції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країні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або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працюють,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або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несправедливими.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залишити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поза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увагою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надає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місцевим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органам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самоврядування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приймати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рішення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процедури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щодо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комунальних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можуть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бути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порушені.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знаходиться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прямому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конфлікті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Конституцією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–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місцеві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органи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влади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території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окремих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адміністративних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одиниць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або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стосовно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своєї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власності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забороняють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застосовувати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України.</w:t>
      </w:r>
      <w:r w:rsidR="009D50E8">
        <w:rPr>
          <w:color w:val="auto"/>
          <w:sz w:val="28"/>
          <w:szCs w:val="28"/>
          <w:lang w:val="uk-UA"/>
        </w:rPr>
        <w:t xml:space="preserve"> 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Важливою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частиною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сучасних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багатьох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країн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стають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транскордонні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1999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Містить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тільки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одну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статтю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загального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характеру,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стосується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участі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справах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іноземних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суб’єктів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права.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ж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стаття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містить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правил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розв’язання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проблем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заборгованості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підприємців,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бізнес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здійснюється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більш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ніж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одній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країні.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Запровадження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відповідних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основний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цій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сфері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дасть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можливість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запевнити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іноземних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інвесторів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ефективності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процедур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існування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рівних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умов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ведення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бізнесу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Україні.</w:t>
      </w:r>
    </w:p>
    <w:p w:rsidR="008C083E" w:rsidRPr="00A240B2" w:rsidRDefault="008C083E" w:rsidP="00A240B2">
      <w:pPr>
        <w:pStyle w:val="HTML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sz w:val="28"/>
          <w:szCs w:val="28"/>
          <w:lang w:val="uk-UA"/>
        </w:rPr>
        <w:t>Посильну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допомогу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боржнику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також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можуть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надавати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органи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влади.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Зміст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даної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допомоги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полягає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фінансуванні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погашення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зобов’язань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перед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кредиторами.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Таким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чином,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боржник,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спираючись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державу,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пробує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припинити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розвиток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явища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неплатоспроможності.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Проте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погашення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зобов’язань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не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єдиним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напрямом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наданих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коштів.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Більш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ефективним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буде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спрямувати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усунення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причин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кризи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створення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умов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успішної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господарської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діяльності.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Вчасна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реалізація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оздоровчих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заходів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дозволяє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уникнути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судового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провадження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справи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банкрутство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вчасне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задоволення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вимог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sz w:val="28"/>
          <w:szCs w:val="28"/>
          <w:lang w:val="uk-UA"/>
        </w:rPr>
        <w:t>кредиторів.</w:t>
      </w:r>
      <w:r w:rsidR="009D50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досудова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принесла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належних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погіршення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порушити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Українське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чотири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варіанти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зокрема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боржника;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мирову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угоду;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боржника;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банкрута.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розпорядження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сприяти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розв’язанню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конфлікту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контрагентами,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кредиторами,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оскільки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зважаючи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принципу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черговості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задоволення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вимог,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боротьбу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належить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праву.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Мирова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угода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конструктивних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способів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усунення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конфлікту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кредиторами.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Проте,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мирової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угоди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практиці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вкрай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обмеженим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відомі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одиничні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укладання.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уваги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приділяти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мирової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угоди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оздоровлення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пропонують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Через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фігуру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призначеного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Однак,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певною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узурпують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господарським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суб’єктом.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законодавчо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вдосконалити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аспекти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трудовий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колектив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підприємства-боржника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важелі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зокрема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принцип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колегіального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оздоровлення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людині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суб’єктом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господарювання.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запобігання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помилок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наданню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об’єктивності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збільшити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санацією.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Бажано,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кожної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сторін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суспільства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представляв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окремий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без_,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тобто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загальна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особи.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Процедура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інтересів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підприємства-боржника.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вдосконалення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адміністративну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невірну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ліквідаційної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непрозорий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зловживань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величину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збитків,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кредиторам.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Розорення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завжди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трагедією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керівництва,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вклав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хто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працює.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покликаний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пом’якшити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наслідки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провалу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зводячи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мінімуму.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досягнуто,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зокрема,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страхування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ризиків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неповернення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витрат,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гарантійних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своєчасності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розрахунків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звільненими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працівниками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створюватися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гарантійний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утримуватиметься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внесків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Арбітражний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керуючий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отримує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виплачує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звільненим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вихідну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після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повертає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кошти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фонду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низькими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відсотками.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Ефективність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механізмів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підтверджена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закордонною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практикою.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Розвиток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різних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країнах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спричинив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потребу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вироблення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певних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стандартів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важливих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принципів,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необхідними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застосування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справах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найважливішими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такі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[22]:</w:t>
      </w:r>
    </w:p>
    <w:p w:rsidR="008C083E" w:rsidRPr="00A240B2" w:rsidRDefault="008C083E" w:rsidP="00A240B2">
      <w:pPr>
        <w:keepNext/>
        <w:widowControl w:val="0"/>
        <w:numPr>
          <w:ilvl w:val="0"/>
          <w:numId w:val="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законодавство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неспроможність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кожного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зрозумілими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відкритими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правовими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розв’язання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проблем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заборгованості;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numPr>
          <w:ilvl w:val="0"/>
          <w:numId w:val="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законодавство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виключати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будь-які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втручання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банкрутства;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numPr>
          <w:ilvl w:val="0"/>
          <w:numId w:val="2"/>
        </w:numPr>
        <w:shd w:val="clear" w:color="auto" w:fill="auto"/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рівне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дискримінаційне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підприємцям,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беруть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участь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кредитори.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Модельний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ЮНСІТРАЛ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1997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="0051271D">
        <w:rPr>
          <w:color w:val="auto"/>
          <w:sz w:val="28"/>
          <w:szCs w:val="28"/>
          <w:lang w:val="uk-UA"/>
        </w:rPr>
        <w:t>«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транскордонну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неспро</w:t>
      </w:r>
      <w:r w:rsidR="0051271D">
        <w:rPr>
          <w:color w:val="auto"/>
          <w:sz w:val="28"/>
          <w:szCs w:val="28"/>
          <w:lang w:val="uk-UA"/>
        </w:rPr>
        <w:t>можність»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рекомендаціями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щодо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його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введення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національне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вважається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конче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важливим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документом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розробки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відповідних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законодавчих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пропозицій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цій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сфері.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Принципи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Рекомендації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питань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ефективного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захисту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прав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кредиторів,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розроблені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Світовим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банком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квітні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2000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р.,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можуть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пригоді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створення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справедливого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режиму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який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відображав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сучасні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світові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тенденції.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спеціальний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нормативний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присвячений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питань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Регламент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2000/1346/ЄС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29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травня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процедури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неспроможності.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Забезпечуючи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справедливий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режим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регулювання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сфері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країна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демонструє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свою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готовність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створення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рівних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умов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конкурентного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середовища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всіх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учасників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ринку,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включаючи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іноземних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підприємців.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цьому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контексті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наближення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стандартів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ЄС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загальновизнаних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світових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принципів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цій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сфері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важливим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чинником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успішності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проведення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ринкових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реформ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створення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умов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для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інтеграції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економіки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світове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європейське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господарство.</w:t>
      </w:r>
    </w:p>
    <w:p w:rsidR="008C083E" w:rsidRPr="00A240B2" w:rsidRDefault="008C083E" w:rsidP="00A240B2">
      <w:pPr>
        <w:pStyle w:val="text"/>
        <w:keepNext/>
        <w:widowControl w:val="0"/>
        <w:spacing w:before="0" w:after="0" w:line="360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Проаналізувавши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законодавство,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можливо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окреслити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основні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напрямки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удосконалення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нормативного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регулювання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банкрутства: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надати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можливість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казенним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підприємствам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застосовувати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процедуру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банкрутства;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розширення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регулювання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іноземних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території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українських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підприємств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території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інших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держав;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9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передбачення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адміністративної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відповідальності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ліквідаторів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невірну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оцінку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ліквідаційної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маси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непрозорий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продаж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майна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боржника.</w:t>
      </w:r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b/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b/>
          <w:color w:val="auto"/>
          <w:szCs w:val="28"/>
          <w:lang w:val="uk-UA"/>
        </w:rPr>
      </w:pPr>
      <w:bookmarkStart w:id="31" w:name="_Toc200535596"/>
      <w:bookmarkStart w:id="32" w:name="_Toc229126183"/>
      <w:r w:rsidRPr="00A240B2">
        <w:rPr>
          <w:b/>
          <w:color w:val="auto"/>
          <w:szCs w:val="28"/>
          <w:lang w:val="uk-UA"/>
        </w:rPr>
        <w:t>3.2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Розробка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антикризової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стратегії</w:t>
      </w:r>
      <w:r w:rsidR="009D50E8">
        <w:rPr>
          <w:b/>
          <w:color w:val="auto"/>
          <w:szCs w:val="28"/>
          <w:lang w:val="uk-UA"/>
        </w:rPr>
        <w:t xml:space="preserve"> </w:t>
      </w:r>
      <w:r w:rsidRPr="00A240B2">
        <w:rPr>
          <w:b/>
          <w:color w:val="auto"/>
          <w:szCs w:val="28"/>
          <w:lang w:val="uk-UA"/>
        </w:rPr>
        <w:t>підприємства</w:t>
      </w:r>
      <w:bookmarkEnd w:id="31"/>
      <w:bookmarkEnd w:id="32"/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Увесь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світ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сьогодні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виживання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конкурентноздатності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змушені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вносити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зв’язку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професора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Ларіонова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І.К.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[15,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_а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242]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вводиться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поняття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менеджмент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змін»</w:t>
      </w:r>
      <w:r w:rsidRPr="00A240B2">
        <w:rPr>
          <w:color w:val="auto"/>
          <w:szCs w:val="28"/>
          <w:lang w:val="uk-UA"/>
        </w:rPr>
        <w:t>.</w:t>
      </w:r>
    </w:p>
    <w:p w:rsidR="008C083E" w:rsidRPr="00A240B2" w:rsidRDefault="008C083E" w:rsidP="00A240B2">
      <w:pPr>
        <w:keepNext/>
        <w:widowControl w:val="0"/>
        <w:tabs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менеджменту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щоб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глибокого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реальних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динаміці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знайти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пошуку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постійні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заходів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забезпечити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свою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життєдіяльність»</w:t>
      </w:r>
      <w:r w:rsidRPr="00A240B2">
        <w:rPr>
          <w:color w:val="auto"/>
          <w:szCs w:val="28"/>
          <w:lang w:val="uk-UA"/>
        </w:rPr>
        <w:t>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середньо-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єдиною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відповіддю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маркетингової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направленості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фірми,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продукції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послуг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(зміна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кількості),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модифікація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апарату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(скорочення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непотрібних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набір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кваліфікованих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галузі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управлінських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кадрів),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здача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оренду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обладнання,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використовується,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проводити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заходи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погашенню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дебіторської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простроченої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кредиторської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заборгованості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виплати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наступає.</w:t>
      </w:r>
    </w:p>
    <w:p w:rsidR="008C083E" w:rsidRPr="00A240B2" w:rsidRDefault="008C083E" w:rsidP="00A240B2">
      <w:pPr>
        <w:keepNext/>
        <w:widowControl w:val="0"/>
        <w:tabs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Поштовхом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правило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особливо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важливо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справжню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обирати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найкращою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господарювання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8C083E" w:rsidRPr="00A240B2" w:rsidRDefault="008C083E" w:rsidP="00A240B2">
      <w:pPr>
        <w:keepNext/>
        <w:widowControl w:val="0"/>
        <w:tabs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помилково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розпочинати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шукати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шляхи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наступила.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розпочинається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зародженням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ідеї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створення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триває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припинення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неперервний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процес.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keepNext/>
        <w:widowControl w:val="0"/>
        <w:tabs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проблема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сфері,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полягає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направлені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запобігання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ранніх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стадіях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зупинити.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боку,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ранніх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стадіях,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базуються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слабких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завжди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достовірних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сигналах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негативних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тенденцій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Тактичні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відміну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стратегічних,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приймаються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точної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відображає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актуальний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виробничої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Однак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випадку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переборення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мало.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Пошук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шляхів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пов’язаний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усуненням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спричинили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виникнення.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Точна,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комплексна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вчасна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діагностика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першим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доцільно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етапи:</w:t>
      </w:r>
    </w:p>
    <w:p w:rsidR="008C083E" w:rsidRPr="00A240B2" w:rsidRDefault="008C083E" w:rsidP="00A240B2">
      <w:pPr>
        <w:keepNext/>
        <w:widowControl w:val="0"/>
        <w:numPr>
          <w:ilvl w:val="0"/>
          <w:numId w:val="3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макрооточення,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поділити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чотири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сектора: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політичний,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економічний,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соціальний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технологічний;</w:t>
      </w:r>
    </w:p>
    <w:p w:rsidR="008C083E" w:rsidRPr="00A240B2" w:rsidRDefault="008C083E" w:rsidP="00A240B2">
      <w:pPr>
        <w:keepNext/>
        <w:widowControl w:val="0"/>
        <w:numPr>
          <w:ilvl w:val="0"/>
          <w:numId w:val="3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(маркетингові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дослідження),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включає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попиту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пропозиції,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тощо.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Поряд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містити:</w:t>
      </w:r>
    </w:p>
    <w:p w:rsidR="008C083E" w:rsidRPr="00A240B2" w:rsidRDefault="008C083E" w:rsidP="00A240B2">
      <w:pPr>
        <w:keepNext/>
        <w:widowControl w:val="0"/>
        <w:numPr>
          <w:ilvl w:val="0"/>
          <w:numId w:val="4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платоспроможності;</w:t>
      </w:r>
    </w:p>
    <w:p w:rsidR="008C083E" w:rsidRPr="00A240B2" w:rsidRDefault="008C083E" w:rsidP="00A240B2">
      <w:pPr>
        <w:keepNext/>
        <w:widowControl w:val="0"/>
        <w:numPr>
          <w:ilvl w:val="0"/>
          <w:numId w:val="4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капіталу;</w:t>
      </w:r>
    </w:p>
    <w:p w:rsidR="008C083E" w:rsidRPr="00A240B2" w:rsidRDefault="008C083E" w:rsidP="00A240B2">
      <w:pPr>
        <w:keepNext/>
        <w:widowControl w:val="0"/>
        <w:numPr>
          <w:ilvl w:val="0"/>
          <w:numId w:val="4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оборотності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(ділової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активності);</w:t>
      </w:r>
    </w:p>
    <w:p w:rsidR="008C083E" w:rsidRPr="00A240B2" w:rsidRDefault="008C083E" w:rsidP="00A240B2">
      <w:pPr>
        <w:keepNext/>
        <w:widowControl w:val="0"/>
        <w:numPr>
          <w:ilvl w:val="0"/>
          <w:numId w:val="4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рентабельності;</w:t>
      </w:r>
    </w:p>
    <w:p w:rsidR="008C083E" w:rsidRPr="00A240B2" w:rsidRDefault="008C083E" w:rsidP="00A240B2">
      <w:pPr>
        <w:keepNext/>
        <w:widowControl w:val="0"/>
        <w:numPr>
          <w:ilvl w:val="0"/>
          <w:numId w:val="4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напрямку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конкретних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Також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запобігання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недосяжних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занижених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різних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джерела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наголошується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SWOT-аналізу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(strength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сильні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сторони,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weaknesses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слабкі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сторони,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opportunities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threats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загрози),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краще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зрозуміти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графічно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відобразити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Разом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Важливим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елементом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залежності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поставлені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період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обрана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досягненню.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будь-якій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декілька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становлять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ієрархію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орієнтовані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перспективу.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менеджерам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розуміти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рішень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низького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орієнтовані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середньо-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перспективу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засобом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рівня.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Узагальнюючи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вищезгадані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виділити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складові,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враховуватися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виборі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оптимальної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[48,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42]:</w:t>
      </w:r>
    </w:p>
    <w:p w:rsidR="008C083E" w:rsidRPr="00A240B2" w:rsidRDefault="008C083E" w:rsidP="00A240B2">
      <w:pPr>
        <w:keepNext/>
        <w:widowControl w:val="0"/>
        <w:numPr>
          <w:ilvl w:val="0"/>
          <w:numId w:val="5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правильно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вибрані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цілі;</w:t>
      </w:r>
    </w:p>
    <w:p w:rsidR="008C083E" w:rsidRPr="00A240B2" w:rsidRDefault="008C083E" w:rsidP="00A240B2">
      <w:pPr>
        <w:keepNext/>
        <w:widowControl w:val="0"/>
        <w:numPr>
          <w:ilvl w:val="0"/>
          <w:numId w:val="5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розуміння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оточення;</w:t>
      </w:r>
    </w:p>
    <w:p w:rsidR="008C083E" w:rsidRPr="00A240B2" w:rsidRDefault="008C083E" w:rsidP="00A240B2">
      <w:pPr>
        <w:keepNext/>
        <w:widowControl w:val="0"/>
        <w:numPr>
          <w:ilvl w:val="0"/>
          <w:numId w:val="5"/>
        </w:numPr>
        <w:shd w:val="clear" w:color="auto" w:fill="auto"/>
        <w:tabs>
          <w:tab w:val="left" w:pos="3360"/>
        </w:tabs>
        <w:ind w:left="0" w:firstLine="709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достовірна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власних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досяжної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нестійким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ретельний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критичний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майбутньої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Соболева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Ю.В.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групи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авторів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[48,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42]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наголошується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альтернативних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напрямків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оцінці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обранні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найкращого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альтернативних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варіантів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менеджерам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проаналізувати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напрямки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розвитку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реалізувати.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закінченні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наступає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етапі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визначається: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підрозділи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відповідальність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інформаційні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реалізацією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будуть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працівники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тощо.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недопущення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незапланованих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відхилень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наміченого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оперативного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(попереднього,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підсумкового).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Попередній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стосуватися,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передовсім,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обирається.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Поточний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здійснюється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усунути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недоліки,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помилки,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перешкоди,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вплинути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процес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намічених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підсумкового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відхилень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запланованих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пошук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недопущення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майбутньому.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сучасній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науковій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літературі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запропонована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кількість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широкий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поданий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Дороніна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Н.В.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[28,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3-4].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3.1).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3.1</w:t>
      </w:r>
    </w:p>
    <w:p w:rsidR="008C083E" w:rsidRPr="00A240B2" w:rsidRDefault="008C083E" w:rsidP="00A240B2">
      <w:pPr>
        <w:keepNext/>
        <w:widowControl w:val="0"/>
        <w:tabs>
          <w:tab w:val="left" w:pos="336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2412"/>
        <w:gridCol w:w="2340"/>
        <w:gridCol w:w="2623"/>
      </w:tblGrid>
      <w:tr w:rsidR="008C083E" w:rsidRPr="00A240B2">
        <w:trPr>
          <w:trHeight w:val="540"/>
          <w:tblHeader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Стратегії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антикризового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управління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Зміст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дій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щодо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виконання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стратегії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Властивість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системи,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яка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є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ключовою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для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дієвості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стратегії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Особливості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функціонування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систему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відповідно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ключових</w:t>
            </w:r>
            <w:r w:rsidR="009D50E8">
              <w:rPr>
                <w:i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iCs/>
                <w:color w:val="auto"/>
                <w:sz w:val="20"/>
                <w:szCs w:val="20"/>
                <w:lang w:val="uk-UA"/>
              </w:rPr>
              <w:t>властивостей</w:t>
            </w:r>
          </w:p>
        </w:tc>
      </w:tr>
      <w:tr w:rsidR="008C083E" w:rsidRPr="00A240B2">
        <w:trPr>
          <w:trHeight w:val="1275"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“Попередження”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Передбачення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попередження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кризи,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підготовка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її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появи,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недопущення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або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призупинення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початковому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етапі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Стійкість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Упродовж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певного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часу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система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здатна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виконувати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свої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функції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навіть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виході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параметрів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зовнішнього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середовища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певні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обмеження</w:t>
            </w:r>
          </w:p>
        </w:tc>
      </w:tr>
      <w:tr w:rsidR="008C083E" w:rsidRPr="00A240B2" w:rsidTr="00A240B2">
        <w:trPr>
          <w:trHeight w:val="1014"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“Протидії”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Протидія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виникненню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кризових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явищ,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уповільнення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процесів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розвитку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Гнучкість,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адаптивність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Система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може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змінювати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мету,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процеси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досягнення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мети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або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цілі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функціонування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залежно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умов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внутрішнього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середовища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системи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змін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умовах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функціонування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системи</w:t>
            </w:r>
          </w:p>
        </w:tc>
      </w:tr>
      <w:tr w:rsidR="008C083E" w:rsidRPr="00A240B2">
        <w:trPr>
          <w:trHeight w:val="1080"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“Стабілізації”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Стабілізація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ситуацій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допомогою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використання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резервів,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додаткових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ресурсів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Ієрархічність,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багатофункціональність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різних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рівнях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системи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будуть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існувати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різні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способи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досягнення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цілей.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Водночас,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окремі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елементи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можуть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бути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більш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стійкими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змін,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отже,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рахунок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з`явиться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певний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час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для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стабілізації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інших</w:t>
            </w:r>
          </w:p>
        </w:tc>
      </w:tr>
      <w:tr w:rsidR="008C083E" w:rsidRPr="00A240B2">
        <w:trPr>
          <w:trHeight w:val="1065"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“Вичікування”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Очікування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зрілості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кризи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для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успішного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вирішення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проблем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її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подолання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Надійність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Система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здатна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реалізовувати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задані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функції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протягом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певного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часу</w:t>
            </w:r>
          </w:p>
        </w:tc>
      </w:tr>
      <w:tr w:rsidR="008C083E" w:rsidRPr="00A240B2">
        <w:trPr>
          <w:trHeight w:val="885"/>
        </w:trPr>
        <w:tc>
          <w:tcPr>
            <w:tcW w:w="2088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“Ризику”</w:t>
            </w:r>
          </w:p>
        </w:tc>
        <w:tc>
          <w:tcPr>
            <w:tcW w:w="2412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Знаходження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ситуації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розрахованого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ризику</w:t>
            </w:r>
          </w:p>
        </w:tc>
        <w:tc>
          <w:tcPr>
            <w:tcW w:w="2340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Живучість,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безпека</w:t>
            </w:r>
          </w:p>
        </w:tc>
        <w:tc>
          <w:tcPr>
            <w:tcW w:w="2623" w:type="dxa"/>
          </w:tcPr>
          <w:p w:rsidR="008C083E" w:rsidRPr="00A240B2" w:rsidRDefault="008C083E" w:rsidP="00A240B2">
            <w:pPr>
              <w:keepNext/>
              <w:widowControl w:val="0"/>
              <w:tabs>
                <w:tab w:val="left" w:pos="3360"/>
              </w:tabs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Навіть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якщо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деякі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елементи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системи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ушкоджені,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вона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може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змінити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цілі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свого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функціонування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рахунок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тих,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що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залишаються</w:t>
            </w:r>
          </w:p>
        </w:tc>
      </w:tr>
    </w:tbl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Навики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великий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правильне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використання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вирішальне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успішної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Менеджер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повинен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найбільш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мобілізувати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ресурси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розподілити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чином,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мало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якнайбільший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ефект.</w:t>
      </w:r>
    </w:p>
    <w:p w:rsidR="008C083E" w:rsidRPr="00A240B2" w:rsidRDefault="008C083E" w:rsidP="00A240B2">
      <w:pPr>
        <w:keepNext/>
        <w:widowControl w:val="0"/>
        <w:tabs>
          <w:tab w:val="left" w:pos="2595"/>
          <w:tab w:val="left" w:pos="117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вчасно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відслідковує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достатньо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часу,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щоб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відреагувати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проблеми.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потрібно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максимально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термін.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максимально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ефективним,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поєднується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адаптованою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структурою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специфічних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даного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підконтрольною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зрозумілій,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реально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досяжній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розмежованій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підрозділами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цілей.</w:t>
      </w:r>
      <w:r w:rsidR="009D50E8">
        <w:rPr>
          <w:color w:val="auto"/>
          <w:szCs w:val="28"/>
          <w:lang w:val="uk-UA"/>
        </w:rPr>
        <w:t xml:space="preserve"> 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Отже,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ефективної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антикризової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необхідно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виконання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наступних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положень: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всебічний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аналіз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змін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внутрішньому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зовнішньому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середовищі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організації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виявлення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впливу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визначення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масштабів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впливу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кризової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ситуації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господарюючий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суб’єкт;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найрезультативнішої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конкретних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існування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антикризової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стратегії;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10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реалізація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контроль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розробленими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напрямками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організації.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bookmarkStart w:id="33" w:name="_Toc200535597"/>
      <w:bookmarkStart w:id="34" w:name="_Toc229126184"/>
      <w:r w:rsidRPr="00A240B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3.3</w:t>
      </w:r>
      <w:r w:rsidR="009D50E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Напрямки</w:t>
      </w:r>
      <w:r w:rsidR="009D50E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конкурентоспроможності</w:t>
      </w:r>
      <w:r w:rsidR="009D50E8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підприємства</w:t>
      </w:r>
      <w:bookmarkEnd w:id="33"/>
      <w:bookmarkEnd w:id="34"/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strike/>
          <w:color w:val="auto"/>
          <w:sz w:val="28"/>
          <w:szCs w:val="28"/>
          <w:lang w:val="uk-UA"/>
        </w:rPr>
      </w:pP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Економічні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процеси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динамічний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характер,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допомагає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гострої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швидко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адаптуватися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мінливих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зовнішнього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внутрішнього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середовища.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Навіть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протягом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невеликого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періоду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споживання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дуже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динамічні.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виграє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(а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наших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виживає)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швидше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інших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пристосується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реалій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адаптується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незвичних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нас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Проблема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реалізації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зробленої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продукції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стоїть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дуже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гостро.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З'явилася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необхідність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вивчати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ринок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потребами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намагатися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потреби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задовольняти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швидко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вчасно.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нинішній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ситуації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один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природних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найбільш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ефективних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напрямків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подальшого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вітчизняної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промисловості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–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гнучкості,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здатності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адаптації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потреб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[23].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Саме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даний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важливим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елементом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антикризового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управління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конкурентоспроможності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—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економічне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змагання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виробників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однакових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видів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продукції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ринку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залучення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більшої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кількості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покупців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одержання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максимального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доходу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короткостроковому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довгостроковому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періодах.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процесі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конкурентної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боротьби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учасники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переслідують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однакові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цілі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–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максимізація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прибутку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рахунок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завоювання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переваг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споживачів.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Однак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способи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шляхи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досягнення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цієї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загальної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мети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різні.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Тому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конкурентній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боротьбі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перемагає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той,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хто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раніше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від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інших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домігся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певних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конкурентних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переваг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захопив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стійкий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сегмент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ринку.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Але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завоювання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переваг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—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це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тільки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початок,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набагато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складніше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втриматися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ринку,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зберігаючи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свої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позиції.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формуванні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конкурентної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стратегії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насамперед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необхідно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враховувати,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якій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життєвого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циклу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перебуває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галузь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(зародження,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швидке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зростання,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зрілість,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спад),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масштаби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діяльності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конкурентів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(зокрема,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чи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здійснюється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конкурентна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боротьба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рівні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світового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ринку).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праці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[32,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с.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248]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фактори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конкурентоспроможності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розглядаються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залежно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від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галузі,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якій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функціонує</w:t>
      </w:r>
      <w:r w:rsidR="009D50E8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підприємство: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галузях,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швидко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розвиваються;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галузях,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перебувають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зрілості;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6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галузях,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перебувають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стагнації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спаду;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6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роздроблених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галузях.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завжди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перебуває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ранній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існування,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зародження.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цієї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знаходяться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організації,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залучення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персоналу,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будівництва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придбання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виробничих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потужностей,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розширення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збутової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мережі,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залучення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свою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сторону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потенційного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покупця.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Дуже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зіштовхуються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проблемами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технологічними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проблемами.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Щоб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домогтися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успіху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компаніям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звичайно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варто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дотримуватися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декількох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рекомендацій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: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спробувати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виграти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перший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етап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боротьби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лідерство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ризикуючи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використовуючи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ефективну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стратегію.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диференціації,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спрямована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досягнення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звичайно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найкращою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досягнення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початкової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переваги;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активно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підтримувати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вдосконалювання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технологічного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процесу,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поліпшувати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продукції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розроблювати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привабливі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споживача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характеристики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товару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використовувати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будь-які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переваги,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випускаючи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моделей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поліпшуючи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зовнішній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вигляд,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використовуючи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технології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канали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збуту,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заздалегідь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виробництво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сировиною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поступово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переносити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основний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акцент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реклами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ознайомлення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споживачів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товаром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створення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сприятливого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враження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торговельної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марки;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використовувати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зниження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залучення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ринок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групи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покупців,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чутливих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зміни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7"/>
        </w:numPr>
        <w:ind w:left="0" w:firstLine="709"/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підготуватися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появи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сильних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конкурентів</w:t>
      </w:r>
      <w:r w:rsidRPr="00A240B2">
        <w:rPr>
          <w:rFonts w:ascii="Times New Roman" w:hAnsi="Times New Roman" w:cs="Times New Roman"/>
          <w:bCs/>
          <w:color w:val="auto"/>
          <w:sz w:val="28"/>
          <w:szCs w:val="28"/>
          <w:lang w:val="uk-UA"/>
        </w:rPr>
        <w:t>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можуть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полегшити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собі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завдання,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ретельно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відбираючи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висококваліфікованих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керівників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раду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директорів,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залучаючи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роботу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заповзятливих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менеджерів,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досвід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управління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молодими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початкових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стадіях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їхнього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становлення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концентруючи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зусилля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забезпеченні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своєї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сфері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інновацій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поєднуючись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іншими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здобуваючи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зміцнення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своєї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ресурсної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бази.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Швидке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тривати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вічно.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темпи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знижуються,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перехід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зрілості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звичайно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приводить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істотних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змін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середовищі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дуже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впливає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витрати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рівень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обслуговування.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Оскільки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всі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починають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пропонувати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характеристиками,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яким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покупці,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вибір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останніх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залежатиме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того,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продавець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запропонує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оптимальному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покупця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співвідношенню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обслуговування.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Зниження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темпів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означає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уповільнення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виробничих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потужностей.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Кожна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повинна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відслідковувати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плани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збільшенню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виробничих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потужностей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регулювати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власні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випуску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продукції,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щоб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допустити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надвиробництва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цілому.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повільного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помилка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визначенні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того,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наскільки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варто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виробничі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потужності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протягом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короткого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відрізка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негативно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вплинути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прибутки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майбутньому.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Зростаючі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національні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починають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пошук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можливостей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збуту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закордонних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ринках.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Лідерства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домагаються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опановують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найбільші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міжнародному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сильні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позиції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серед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світових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географічних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ринків.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Фірми,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працюють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неефективно,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слабкими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стратегіями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спроможні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вижити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галузі,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швидко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розвивається,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зростання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обсягів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продаж.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конкуренція,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підсилюється,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виявляє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слабкість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фірм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конкурентній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боротьбі.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міру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того,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розвивається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стадія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зрілості,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відбуваються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галузі,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фірми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спрямувати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зусилля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зміцнення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своїх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конкурентів.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Величезна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розмаїтість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моделей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товарів,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їхніх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характеристик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можливостей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позитивно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впливає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конкурентоспроможність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збільшуються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запити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споживачів.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Але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розмаїтість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занадто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дорогою,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коли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підсилюється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цінова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конкуренція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знижується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максимальний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рівень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прибутку.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Зняття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виробництва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неконкурентноспроможної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продукції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скорочує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витрати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дозволяє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концентрувати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зусилля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товарах,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максимальний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рівень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прибутку,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переваги.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Іноді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дешево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придбати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компанії-конкуренти,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потерпіли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крах.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Придбання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вигідними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сприяти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зменшенню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витрат,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воно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також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забезпечує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ефективності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виробництва.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Крім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того,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переходить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клієнтура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придбаного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конкурента.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Найбільше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вигідними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придбаннями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істотно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підсилюють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позиції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фірми-покупця.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Але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багато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діють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попит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повільніше,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ніж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середньому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промисловості,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іноді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навіть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спостерігається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падіння.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даній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ситуації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найбільш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очевидними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«збору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врожаю»,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забезпечує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одержання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максимального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наявних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коштів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короткий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період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припинення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діяльності.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Однак,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автор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праці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„Конкурентоспроможність</w:t>
      </w:r>
      <w:r w:rsidR="009D50E8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підприємства:</w:t>
      </w:r>
      <w:r w:rsidR="009D50E8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оцінка</w:t>
      </w:r>
      <w:r w:rsidR="009D50E8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та</w:t>
      </w:r>
      <w:r w:rsidR="009D50E8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стратегія</w:t>
      </w:r>
      <w:r w:rsidR="009D50E8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kern w:val="28"/>
          <w:sz w:val="28"/>
          <w:szCs w:val="28"/>
          <w:lang w:val="uk-UA"/>
        </w:rPr>
        <w:t>забезпечення”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[32]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вважає,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падіння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попиту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недостатньо,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щоб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зробити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непривабливою.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бути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доцільний,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бути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недоцільний;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припинення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це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надзвичайний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захід.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конкурують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галузях,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перебувають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стадії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повільного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спаду,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повинні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спрямувати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свої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зусилля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формулювання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цілей,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відповідають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можливостям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Показники,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які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характеризують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рух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готівки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рентабельність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інвестицій,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прийнятні,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ніж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абсолютні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показники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зростання,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хоча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необхідно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враховувати.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Сильні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компанії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спроможні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збільшити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рахунок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слабких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конкурентів,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вихід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останніх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або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їхнє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злиття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іншими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фірмами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дозволять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тим,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залишилися,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захопити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більшу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частку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Фірми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можуть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досягти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скорочення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витрат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рахунок: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планування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внутрішніх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процесів;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консолідації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невикористаних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виробничих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потужностей;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використання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великої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кількості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збутових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каналів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досягнення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обсягу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продаж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необхідного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для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зниження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витрат;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відмови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дрібних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дорогих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збутових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точок;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8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виділення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ланцюжка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цінностей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прибуткових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видів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діяльності.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Проблема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рівня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конкурентоспроможності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вітчизняної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продукції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подальшого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економіки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пов'язана,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насамперед,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розробкою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системи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управління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конкурентоспроможністю.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Формування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відносин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сприяє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створенню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розвиненого,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цивілізованого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ринку,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що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включає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сферу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виробництва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товарообміну.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Завоювання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утримання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переваг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—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ключові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фактори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успіху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конкурентній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боротьбі.</w:t>
      </w:r>
    </w:p>
    <w:p w:rsidR="008C083E" w:rsidRPr="00A240B2" w:rsidRDefault="008C083E" w:rsidP="00A240B2">
      <w:pPr>
        <w:pStyle w:val="t"/>
        <w:keepNext/>
        <w:widowControl w:val="0"/>
        <w:ind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сучасних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умовах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господарювання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можна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виділити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основні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напрямки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підвищення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антикризового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менеджменту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підприємства: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усунення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дискримінаційних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положень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законодавстві;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розширення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транскордонного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регулювання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банкрутства;</w:t>
      </w:r>
    </w:p>
    <w:p w:rsidR="008C083E" w:rsidRPr="00A240B2" w:rsidRDefault="008C083E" w:rsidP="00A240B2">
      <w:pPr>
        <w:pStyle w:val="text"/>
        <w:keepNext/>
        <w:widowControl w:val="0"/>
        <w:numPr>
          <w:ilvl w:val="0"/>
          <w:numId w:val="11"/>
        </w:numPr>
        <w:spacing w:before="0" w:after="0" w:line="360" w:lineRule="auto"/>
        <w:ind w:left="0" w:firstLine="709"/>
        <w:jc w:val="both"/>
        <w:rPr>
          <w:color w:val="auto"/>
          <w:sz w:val="28"/>
          <w:szCs w:val="28"/>
          <w:lang w:val="uk-UA"/>
        </w:rPr>
      </w:pPr>
      <w:r w:rsidRPr="00A240B2">
        <w:rPr>
          <w:color w:val="auto"/>
          <w:sz w:val="28"/>
          <w:szCs w:val="28"/>
          <w:lang w:val="uk-UA"/>
        </w:rPr>
        <w:t>передбачення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адміністративної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відповідальності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ліквідаторів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за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невірну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оцінку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ліквідаційної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маси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та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непрозорий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продаж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майна</w:t>
      </w:r>
      <w:r w:rsidR="009D50E8">
        <w:rPr>
          <w:color w:val="auto"/>
          <w:sz w:val="28"/>
          <w:szCs w:val="28"/>
          <w:lang w:val="uk-UA"/>
        </w:rPr>
        <w:t xml:space="preserve"> </w:t>
      </w:r>
      <w:r w:rsidRPr="00A240B2">
        <w:rPr>
          <w:color w:val="auto"/>
          <w:sz w:val="28"/>
          <w:szCs w:val="28"/>
          <w:lang w:val="uk-UA"/>
        </w:rPr>
        <w:t>боржника.</w:t>
      </w:r>
    </w:p>
    <w:p w:rsidR="008C083E" w:rsidRPr="00A240B2" w:rsidRDefault="008C083E" w:rsidP="00A240B2">
      <w:pPr>
        <w:pStyle w:val="t"/>
        <w:keepNext/>
        <w:widowControl w:val="0"/>
        <w:numPr>
          <w:ilvl w:val="0"/>
          <w:numId w:val="11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розробка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ефективної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стратегії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розвитку</w:t>
      </w:r>
      <w:r w:rsidR="009D50E8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A240B2">
        <w:rPr>
          <w:rFonts w:ascii="Times New Roman" w:hAnsi="Times New Roman" w:cs="Times New Roman"/>
          <w:color w:val="auto"/>
          <w:sz w:val="28"/>
          <w:szCs w:val="28"/>
          <w:lang w:val="uk-UA"/>
        </w:rPr>
        <w:t>підприємства.</w:t>
      </w:r>
    </w:p>
    <w:p w:rsidR="008C083E" w:rsidRPr="00A240B2" w:rsidRDefault="008C083E" w:rsidP="00A240B2">
      <w:pPr>
        <w:keepNext/>
        <w:widowControl w:val="0"/>
        <w:rPr>
          <w:color w:val="auto"/>
          <w:lang w:val="uk-UA"/>
        </w:rPr>
      </w:pPr>
    </w:p>
    <w:p w:rsidR="00370730" w:rsidRPr="00A240B2" w:rsidRDefault="008C083E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br w:type="page"/>
      </w:r>
      <w:bookmarkStart w:id="35" w:name="_Toc229126185"/>
      <w:r w:rsidR="00370730" w:rsidRPr="00A240B2">
        <w:rPr>
          <w:color w:val="auto"/>
          <w:sz w:val="28"/>
          <w:lang w:val="uk-UA"/>
        </w:rPr>
        <w:t>ВИСНОВКИ</w:t>
      </w:r>
      <w:bookmarkEnd w:id="35"/>
    </w:p>
    <w:p w:rsidR="00A240B2" w:rsidRDefault="00A240B2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Поняття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підприємстві»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охоплює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ланки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найімовірнішими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невідповідність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прийнятих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підходів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застарілі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технології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фактори.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призвести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законодавстві,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політиці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держави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мікросередовища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макросередовища.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позитивних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зменшення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прибутків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банкротства.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Робота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постачальником,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пропонує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вигідні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співпраці,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ринки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вигідними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конкуренції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наявністю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покупців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фірми,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пропозиції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запитам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покупців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товарів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послуг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допомогти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наблизитися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цілі.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Водночас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мають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привести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краху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невідповідної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політики,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відношенню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них.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вчасно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виявляти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внутрішньому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можуть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вплинути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діяльність.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Задля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вчасного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якомога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повнішого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причин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їх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появи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масштабів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необхідним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виконання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менеджменту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конкретних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умов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існування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явищ.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rStyle w:val="FontStyle17"/>
          <w:color w:val="auto"/>
          <w:sz w:val="28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Фінансова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ситуація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ВАТ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"Білоцерківський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молочний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завод”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за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останні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5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років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значно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покращилася,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але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незадовільним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фактором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є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скорочення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росту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оборотних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активів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у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2005-2006</w:t>
      </w:r>
      <w:r w:rsidR="009D50E8">
        <w:rPr>
          <w:rStyle w:val="FontStyle17"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color w:val="auto"/>
          <w:sz w:val="28"/>
          <w:szCs w:val="28"/>
          <w:lang w:val="uk-UA"/>
        </w:rPr>
        <w:t>роках.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Враховуючи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позитивну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динаміку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росту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платоспроможності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за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останні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5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років,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можна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прогнозувати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покращення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фінансового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становища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товариства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наступних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періодах,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хоча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не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виключені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й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зміни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ситуації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гіршу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сторону,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як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у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2003-2004</w:t>
      </w:r>
      <w:r w:rsidR="009D50E8">
        <w:rPr>
          <w:rStyle w:val="FontStyle17"/>
          <w:bCs/>
          <w:color w:val="auto"/>
          <w:sz w:val="28"/>
          <w:szCs w:val="28"/>
          <w:lang w:val="uk-UA"/>
        </w:rPr>
        <w:t xml:space="preserve"> </w:t>
      </w:r>
      <w:r w:rsidRPr="00A240B2">
        <w:rPr>
          <w:rStyle w:val="FontStyle17"/>
          <w:bCs/>
          <w:color w:val="auto"/>
          <w:sz w:val="28"/>
          <w:szCs w:val="28"/>
          <w:lang w:val="uk-UA"/>
        </w:rPr>
        <w:t>роках.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Державне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менеджменту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покращено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рахунок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передбачення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адміністративної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відповідальності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ліквідаторів,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розширення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транскордонного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інших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змін.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Але,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незважаючи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вищезгадані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положення,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законодавче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регулювання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менеджменту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знаходиться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високому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рівні.</w:t>
      </w:r>
    </w:p>
    <w:p w:rsidR="008C083E" w:rsidRPr="00A240B2" w:rsidRDefault="008C083E" w:rsidP="00A240B2">
      <w:pPr>
        <w:keepNext/>
        <w:widowControl w:val="0"/>
        <w:shd w:val="clear" w:color="auto" w:fill="auto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Антикризова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направлена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розробку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довгострокових,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середньострокових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короткострокових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урахуванням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зовнішнього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середовища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можливостей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реалізації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встановлених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планів.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досягненням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обраної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стратегії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тактики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повинен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проводитися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контроль,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відповідність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фактичних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діяльності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плановим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можливих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усуненню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невідповідності.</w:t>
      </w:r>
    </w:p>
    <w:p w:rsidR="008C083E" w:rsidRPr="00A240B2" w:rsidRDefault="008C083E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Отже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основі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результатів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проведеного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дослідження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можна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зробити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висновок,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що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впровадження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функціонування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ефективної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системи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управління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є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важливим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кроком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досягнення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цілей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організації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виходу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якісно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новий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рівень.</w:t>
      </w:r>
    </w:p>
    <w:p w:rsidR="008C083E" w:rsidRPr="00A240B2" w:rsidRDefault="008C083E" w:rsidP="00A240B2">
      <w:pPr>
        <w:keepNext/>
        <w:widowControl w:val="0"/>
        <w:rPr>
          <w:b/>
          <w:caps/>
          <w:color w:val="auto"/>
          <w:szCs w:val="28"/>
          <w:lang w:val="uk-UA"/>
        </w:rPr>
      </w:pPr>
      <w:r w:rsidRPr="00A240B2">
        <w:rPr>
          <w:b/>
          <w:caps/>
          <w:color w:val="auto"/>
          <w:szCs w:val="28"/>
          <w:lang w:val="uk-UA"/>
        </w:rPr>
        <w:br w:type="page"/>
      </w:r>
      <w:bookmarkStart w:id="36" w:name="_Toc200535602"/>
      <w:bookmarkStart w:id="37" w:name="_Toc229126186"/>
      <w:r w:rsidRPr="00A240B2">
        <w:rPr>
          <w:b/>
          <w:caps/>
          <w:color w:val="auto"/>
          <w:szCs w:val="28"/>
          <w:lang w:val="uk-UA"/>
        </w:rPr>
        <w:t>Список</w:t>
      </w:r>
      <w:r w:rsidR="009D50E8">
        <w:rPr>
          <w:b/>
          <w:caps/>
          <w:color w:val="auto"/>
          <w:szCs w:val="28"/>
          <w:lang w:val="uk-UA"/>
        </w:rPr>
        <w:t xml:space="preserve"> </w:t>
      </w:r>
      <w:r w:rsidRPr="00A240B2">
        <w:rPr>
          <w:b/>
          <w:caps/>
          <w:color w:val="auto"/>
          <w:szCs w:val="28"/>
          <w:lang w:val="uk-UA"/>
        </w:rPr>
        <w:t>використаних</w:t>
      </w:r>
      <w:r w:rsidR="009D50E8">
        <w:rPr>
          <w:b/>
          <w:caps/>
          <w:color w:val="auto"/>
          <w:szCs w:val="28"/>
          <w:lang w:val="uk-UA"/>
        </w:rPr>
        <w:t xml:space="preserve"> </w:t>
      </w:r>
      <w:r w:rsidRPr="00A240B2">
        <w:rPr>
          <w:b/>
          <w:caps/>
          <w:color w:val="auto"/>
          <w:szCs w:val="28"/>
          <w:lang w:val="uk-UA"/>
        </w:rPr>
        <w:t>джерел</w:t>
      </w:r>
      <w:bookmarkEnd w:id="36"/>
      <w:bookmarkEnd w:id="37"/>
    </w:p>
    <w:p w:rsidR="00A240B2" w:rsidRDefault="00A240B2" w:rsidP="00A240B2">
      <w:pPr>
        <w:keepNext/>
        <w:widowControl w:val="0"/>
        <w:shd w:val="clear" w:color="auto" w:fill="auto"/>
        <w:ind w:left="349" w:firstLine="0"/>
        <w:rPr>
          <w:color w:val="auto"/>
          <w:szCs w:val="28"/>
          <w:lang w:val="uk-UA"/>
        </w:rPr>
      </w:pP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Конституція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http://www.rada.gov.ua.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Сайт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Верховної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Кримінальний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Кодекс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№2341-ІІІ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05.04.2001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http://www.rada.gov.uа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Сайт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Верховної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Цивільний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Кодекс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№435-IV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16.01.2003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http://www.rada.gov.uа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Сайт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Верховної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kern w:val="28"/>
          <w:szCs w:val="28"/>
          <w:lang w:val="uk-UA"/>
        </w:rPr>
        <w:t>Закон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„</w:t>
      </w:r>
      <w:r w:rsidRPr="00A240B2">
        <w:rPr>
          <w:color w:val="auto"/>
          <w:szCs w:val="28"/>
          <w:lang w:val="uk-UA"/>
        </w:rPr>
        <w:t>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бухгалтерський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облік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фінансову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звітність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Україні”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http://www.rada.gov.uа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Сайт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Верховної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відновлення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боржника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або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визнання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його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банкрутом”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http://www.rada.gov.ua.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Сайт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Верховної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охорону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праці”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жовтня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1992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2694-XII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http://www.rada.gov.ua.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Сайт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Верховної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Закон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„Про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цивільну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оборону”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лютого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1993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року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N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2974-XII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http://www.rada.gov.uа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Сайт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Верховної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</w:t>
      </w:r>
      <w:r w:rsidRPr="00A240B2">
        <w:rPr>
          <w:color w:val="auto"/>
          <w:szCs w:val="28"/>
          <w:lang w:val="uk-UA"/>
        </w:rPr>
        <w:t>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Методичні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рекомендації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виявленню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неплатоспроможності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ознак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дій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приховування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фіктивного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доведення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Наказом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Міністерства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економіки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№10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17.01.01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http://www.rada.gov.ua.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Сайт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Верховної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Ради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Положення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(стандарт)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бухгалтерського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обліку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„Баланс”: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Наказ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Міністерства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фінансів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України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№87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від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31.03.1999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матеріалами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http://www.rada.gov.uа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Сайт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Верховної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Ради</w:t>
      </w:r>
      <w:r w:rsidR="009D50E8">
        <w:rPr>
          <w:color w:val="auto"/>
          <w:kern w:val="28"/>
          <w:szCs w:val="28"/>
          <w:lang w:val="uk-UA"/>
        </w:rPr>
        <w:t xml:space="preserve"> </w:t>
      </w:r>
      <w:r w:rsidRPr="00A240B2">
        <w:rPr>
          <w:color w:val="auto"/>
          <w:kern w:val="28"/>
          <w:szCs w:val="28"/>
          <w:lang w:val="uk-UA"/>
        </w:rPr>
        <w:t>України</w:t>
      </w:r>
      <w:r w:rsidRPr="00A240B2">
        <w:rPr>
          <w:color w:val="auto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Положення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(стандарт)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бухгалтерського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обліку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„Звіт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фінансові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результати”: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Наказ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Міністерства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фінансів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№87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від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31.03.1999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http://www.rada.gov.uа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Сайт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Верховної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Ради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України</w:t>
      </w:r>
      <w:r w:rsidR="008C083E" w:rsidRPr="00A240B2">
        <w:rPr>
          <w:color w:val="auto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Положення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Державний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департамент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питань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банкрутства: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Постанова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Кабінету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Міністрів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від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19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квітня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2006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року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533.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http://www.rada.gov.uа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Сайт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Верховної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Ради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України</w:t>
      </w:r>
      <w:r w:rsidR="008C083E" w:rsidRPr="00A240B2">
        <w:rPr>
          <w:color w:val="auto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Порядок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проведення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досудової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санації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державних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підприємств: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Постанова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Кабінету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Міністрів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від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17.03.2000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515.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http://www.rada.gov.uа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Сайт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Верховної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Ради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України</w:t>
      </w:r>
      <w:r w:rsidR="008C083E" w:rsidRPr="00A240B2">
        <w:rPr>
          <w:color w:val="auto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Рекомендації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Президії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Вищого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господарського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суду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від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04.06.04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№04-5/1193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„Про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деякі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питання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практики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застосування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Закону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„Про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відновлення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платоспроможності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боржника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або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визнання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його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банкрутом”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http://www.rada.gov.uа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Сайт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Верховної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Ради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України</w:t>
      </w:r>
      <w:r w:rsidR="008C083E" w:rsidRPr="00A240B2">
        <w:rPr>
          <w:color w:val="auto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—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Учебник/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Э.М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Короткова,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—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"ИНФРА-М",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2003,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432.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Рук.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авт.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колл.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проф.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Ларионов.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перераб.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Издательско-торговая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корпорация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«Дашков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</w:t>
      </w:r>
      <w:r w:rsidR="008C083E" w:rsidRPr="00A240B2">
        <w:rPr>
          <w:color w:val="auto"/>
          <w:szCs w:val="28"/>
          <w:vertAlign w:val="superscript"/>
          <w:lang w:val="uk-UA"/>
        </w:rPr>
        <w:t>о</w:t>
      </w:r>
      <w:r w:rsidR="008C083E" w:rsidRPr="00A240B2">
        <w:rPr>
          <w:color w:val="auto"/>
          <w:szCs w:val="28"/>
          <w:lang w:val="uk-UA"/>
        </w:rPr>
        <w:t>»,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2004.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292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предприятиями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банками: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Учеб.-практ.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пособие.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Дело,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840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Антикризисное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управление: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Под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Э.С.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Минаева,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В.П.Панагушина;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Моск.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гос.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авиац.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ин-т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(техн.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ун-т).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Изд-во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ПРИОР,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1999.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430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ил.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теория,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практика,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инфраструктура: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Учебно-практическое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пособие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Отв.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Г.А.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Александров.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Издательство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БЕК,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2002.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544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пособие: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2-х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Рук.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авт.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коллектива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отв.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Г.К.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Таль;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Финансовая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акад.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правительстве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РФ,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Науч.-практ.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центр.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комплекс.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пробл.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ИНФРА-М,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2004.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987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с.;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1126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Антикризисный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менеджмент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редакцией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проф.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Грязновой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А.Г.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Ассоциация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авторов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издателей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«Тандем».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Издательство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ЭКМОС,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1999.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368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Банкрутство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санація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підприємства: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теорія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практика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кризового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Т.С.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Клебанова,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О.М.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Бондар,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О.В.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Мозенков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ін.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О.В.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Мозенкова.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Харьков: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ВГ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„ІНЖЕК”,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2003.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272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15368E">
        <w:rPr>
          <w:color w:val="auto"/>
          <w:szCs w:val="28"/>
          <w:lang w:val="uk-UA"/>
        </w:rPr>
        <w:t>Бірюков</w:t>
      </w:r>
      <w:r w:rsidRPr="0015368E">
        <w:rPr>
          <w:color w:val="auto"/>
          <w:szCs w:val="28"/>
          <w:lang w:val="uk-UA"/>
        </w:rPr>
        <w:t xml:space="preserve"> </w:t>
      </w:r>
      <w:r w:rsidR="008C083E" w:rsidRPr="0015368E">
        <w:rPr>
          <w:color w:val="auto"/>
          <w:szCs w:val="28"/>
          <w:lang w:val="uk-UA"/>
        </w:rPr>
        <w:t>Олександр</w:t>
      </w:r>
      <w:r w:rsidR="008C083E" w:rsidRPr="00A240B2">
        <w:rPr>
          <w:color w:val="auto"/>
          <w:szCs w:val="28"/>
          <w:lang w:val="uk-UA"/>
        </w:rPr>
        <w:t>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Банкрутство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як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важливий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елемент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справедливої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конкуренції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http://www.yur-gazeta.com/writer/167/.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Василенко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В.О.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Антикризове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підприємством: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Навч.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посіб.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для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студ.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вищ.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навч.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закл.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ЦУЛ,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2003.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504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Волинец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Антикризисное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управление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предприятием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Современный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бухгалтер.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№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14.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16-20.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Господарське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право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Навч.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посібник.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-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вид.,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перероб.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-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Юрінком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Інтер,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-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384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Депутат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Коваленко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Мужик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Цивільна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оборона.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Підручник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\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Полковника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Франчука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2-ге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вид.,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Львів,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Афіша,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336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Довбня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Система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предприятием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Механізм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регулювання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економіки.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—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2005.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—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—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92-100.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Дороніна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Н.В.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Системний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підхід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формування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антикризової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стратегії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державному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управлінні.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матеріалами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http://www.kbuapa.kharkov.ua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Сайт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харківського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регіонального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інституту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державного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Національної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академії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державного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Президентові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України</w:t>
      </w:r>
      <w:r w:rsidR="008C083E" w:rsidRPr="00A240B2">
        <w:rPr>
          <w:color w:val="auto"/>
          <w:kern w:val="28"/>
          <w:szCs w:val="28"/>
          <w:lang w:val="uk-UA"/>
        </w:rPr>
        <w:t>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Друкер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Задачи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ХХІ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веке.: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Пер.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англ.: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Уч.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Издательский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дом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„Вильямс”,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2000.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272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Жидецький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В.Ц.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Основи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охорони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праці.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Підручник.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3-є,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перероб.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Львів: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УАД,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2006.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336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Зуб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А.Т.,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Локтионов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М.В.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Системный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стратегический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теория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практика.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Генезис,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2001.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752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Конкурентоспроможність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підприємства: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оцінка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стратегія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забезпечення: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Монографія.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Вид-во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ДУЕП,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2006.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276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Коробов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М.Я.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Фінансово-економічний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аналіз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діяльності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підприємства: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Навч.посібник.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Знання,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2001.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Котлер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Маркетинг.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СПб.: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Питер,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1999.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896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Кошкин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17-модульная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программа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для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менеджеров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«Управление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развитием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организации».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Модуль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11.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ИНФРА-М.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1999.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560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8C083E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Литвинов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Д.В.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Анализ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финансового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состояния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предприятия: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Справочное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пособие.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/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Литвинов.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СПб: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Эскорт,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–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Лігоненко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Л.О.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Антикризове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управління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підприємством: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Підручник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для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студентів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вищих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навч.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закладів.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-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КНТЕУ,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2005.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-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823с.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Мазаракі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Економіка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торговельного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підприємства.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Підручник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для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вузів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Мазаракі,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Н.М.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Ушакова,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Л.О.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Лігоненко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Під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проф.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Н.М.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Ушакової.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Хрещатик,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1999.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800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Макконнел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Р.,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Брю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С.Л.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Экономикс: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Принципы,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проблемы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политика.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2-х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Пер.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англ.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11-го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Республика,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1992.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399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с.;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400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Маслова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Т.Д.,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Божук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С.Г.,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Ковалик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Л.Н.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Маркетинг.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СПб.: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Питер,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2006.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400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ил.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ХХ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век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ХХІ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Сб.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ст./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Высш.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шк.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бизнеса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моск.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гос.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ун-та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им.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М.В.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Ломоносова;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Под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ред.: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О.С.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Виханский,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А.И.Ионова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Экономистъ,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2004.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334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ил.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стратегии,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которыми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побеждают.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Максимум,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2006.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315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Мескон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М.Х.,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Альберт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Хедоури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Основы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менеджмента: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Пер.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англ.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Дело,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1992.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702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Мочерний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С.В.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Методологія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економічного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дослідження.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Львів: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Світ,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2001.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416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Основи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менеджменту: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Підручник.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Академвидав,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2003.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608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Селезнева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Ионова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Финансовый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анализ.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финансами: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по-собие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для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вузов.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2-е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изд.,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перераб.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доп.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Н.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Селезнева,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Ф.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Ионова.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ЮНИТИ-ДАНА,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2005.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639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Стратегия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тактика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антикризисного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управления.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Под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ред.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А.П.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Градова,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Б.И.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Кузина,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С.-Петербург,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1996.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Стратегия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предприятия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и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стратегический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менеджмент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Учеб.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пособие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/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Ю.В.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Соболев,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В.Л.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Дикань,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А.Г.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Денейка,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Л.А.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Позднякова.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Х.: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Олант,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2002.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–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415</w:t>
      </w:r>
      <w:r>
        <w:rPr>
          <w:color w:val="auto"/>
          <w:szCs w:val="28"/>
          <w:lang w:val="uk-UA"/>
        </w:rPr>
        <w:t xml:space="preserve"> </w:t>
      </w:r>
      <w:r w:rsidR="008C083E" w:rsidRPr="00A240B2">
        <w:rPr>
          <w:color w:val="auto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Том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Н.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изменениями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Проблемы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теории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практики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управления.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1998.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№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68-74.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Управление</w:t>
      </w: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-</w:t>
      </w: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это</w:t>
      </w: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наука</w:t>
      </w: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и</w:t>
      </w:r>
      <w:r>
        <w:rPr>
          <w:b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bCs/>
          <w:color w:val="auto"/>
          <w:kern w:val="28"/>
          <w:szCs w:val="28"/>
          <w:lang w:val="uk-UA"/>
        </w:rPr>
        <w:t>искусство</w:t>
      </w:r>
      <w:r w:rsidR="008C083E" w:rsidRPr="00A240B2">
        <w:rPr>
          <w:color w:val="auto"/>
          <w:kern w:val="28"/>
          <w:szCs w:val="28"/>
          <w:lang w:val="uk-UA"/>
        </w:rPr>
        <w:t>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iCs/>
          <w:color w:val="auto"/>
          <w:kern w:val="28"/>
          <w:szCs w:val="28"/>
          <w:lang w:val="uk-UA"/>
        </w:rPr>
        <w:t>А.</w:t>
      </w:r>
      <w:r>
        <w:rPr>
          <w:i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iCs/>
          <w:color w:val="auto"/>
          <w:kern w:val="28"/>
          <w:szCs w:val="28"/>
          <w:lang w:val="uk-UA"/>
        </w:rPr>
        <w:t>Файоль,</w:t>
      </w:r>
      <w:r>
        <w:rPr>
          <w:iCs/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Эмерсон,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Тейлор,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Форд.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Республика,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1992,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-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351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пезультатам: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Пер.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финск.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/Общ.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ред.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предисл.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Леймана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Я.А.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Прогресс.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1988.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320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Уткин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Э.А.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Антикризисное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управление.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Ассоциация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авторов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издателей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«Тандем».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Изд-во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ЭКМОС,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1997.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400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Финансовый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анализ: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управление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финансами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Н.Н.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Селезнева,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А.Ф.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Ионова.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2-е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перераб.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доп.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ЮНИТИ-ДАНА,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2003.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639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ил.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Шаповал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М.І.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Менеджмент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якості.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Т-во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„Знання”,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2003.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435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Экономикс: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Англо-русский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словарь-справочник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/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Э.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Дж.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Доллан,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Б.И.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Домненко.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Лазурь,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1994.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544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8C083E" w:rsidRPr="00A240B2" w:rsidRDefault="009D50E8" w:rsidP="0051271D">
      <w:pPr>
        <w:keepNext/>
        <w:widowControl w:val="0"/>
        <w:numPr>
          <w:ilvl w:val="0"/>
          <w:numId w:val="12"/>
        </w:numPr>
        <w:shd w:val="clear" w:color="auto" w:fill="auto"/>
        <w:tabs>
          <w:tab w:val="clear" w:pos="1429"/>
          <w:tab w:val="num" w:pos="709"/>
        </w:tabs>
        <w:ind w:left="0" w:firstLine="0"/>
        <w:rPr>
          <w:color w:val="auto"/>
          <w:kern w:val="28"/>
          <w:szCs w:val="28"/>
          <w:lang w:val="uk-UA"/>
        </w:rPr>
      </w:pP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Юданов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А.Ю.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Конкуренция: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теория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практика.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М.: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Издательство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ГНОМ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и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Д,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2001.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–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304</w:t>
      </w:r>
      <w:r>
        <w:rPr>
          <w:color w:val="auto"/>
          <w:kern w:val="28"/>
          <w:szCs w:val="28"/>
          <w:lang w:val="uk-UA"/>
        </w:rPr>
        <w:t xml:space="preserve"> </w:t>
      </w:r>
      <w:r w:rsidR="008C083E" w:rsidRPr="00A240B2">
        <w:rPr>
          <w:color w:val="auto"/>
          <w:kern w:val="28"/>
          <w:szCs w:val="28"/>
          <w:lang w:val="uk-UA"/>
        </w:rPr>
        <w:t>с.</w:t>
      </w:r>
    </w:p>
    <w:p w:rsidR="0050528A" w:rsidRDefault="0050528A" w:rsidP="00A240B2">
      <w:pPr>
        <w:keepNext/>
        <w:widowControl w:val="0"/>
        <w:rPr>
          <w:color w:val="auto"/>
          <w:lang w:val="uk-UA"/>
        </w:rPr>
      </w:pPr>
    </w:p>
    <w:p w:rsidR="00A240B2" w:rsidRDefault="00A240B2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  <w:sectPr w:rsidR="00A240B2" w:rsidSect="00A240B2">
          <w:headerReference w:type="even" r:id="rId2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bookmarkStart w:id="38" w:name="_Toc229126187"/>
    </w:p>
    <w:p w:rsidR="008C083E" w:rsidRPr="00A240B2" w:rsidRDefault="0050528A" w:rsidP="00A240B2">
      <w:pPr>
        <w:pStyle w:val="1"/>
        <w:widowControl w:val="0"/>
        <w:spacing w:before="0" w:after="0"/>
        <w:jc w:val="both"/>
        <w:rPr>
          <w:color w:val="auto"/>
          <w:sz w:val="28"/>
          <w:lang w:val="uk-UA"/>
        </w:rPr>
      </w:pPr>
      <w:r w:rsidRPr="00A240B2">
        <w:rPr>
          <w:color w:val="auto"/>
          <w:sz w:val="28"/>
          <w:lang w:val="uk-UA"/>
        </w:rPr>
        <w:t>ДОДАТКИ</w:t>
      </w:r>
      <w:bookmarkEnd w:id="38"/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</w:t>
      </w:r>
    </w:p>
    <w:p w:rsidR="00A240B2" w:rsidRDefault="00A240B2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„Білоцерківський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завод”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2002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</w:p>
    <w:tbl>
      <w:tblPr>
        <w:tblW w:w="14764" w:type="dxa"/>
        <w:tblInd w:w="93" w:type="dxa"/>
        <w:tblLook w:val="0000" w:firstRow="0" w:lastRow="0" w:firstColumn="0" w:lastColumn="0" w:noHBand="0" w:noVBand="0"/>
      </w:tblPr>
      <w:tblGrid>
        <w:gridCol w:w="4126"/>
        <w:gridCol w:w="995"/>
        <w:gridCol w:w="125"/>
        <w:gridCol w:w="1135"/>
        <w:gridCol w:w="69"/>
        <w:gridCol w:w="1191"/>
        <w:gridCol w:w="13"/>
        <w:gridCol w:w="1204"/>
        <w:gridCol w:w="43"/>
        <w:gridCol w:w="1161"/>
        <w:gridCol w:w="99"/>
        <w:gridCol w:w="1608"/>
        <w:gridCol w:w="56"/>
        <w:gridCol w:w="43"/>
        <w:gridCol w:w="1179"/>
        <w:gridCol w:w="1717"/>
      </w:tblGrid>
      <w:tr w:rsidR="0050528A" w:rsidRPr="00A240B2" w:rsidTr="00A240B2">
        <w:trPr>
          <w:cantSplit/>
          <w:trHeight w:val="690"/>
          <w:tblHeader/>
        </w:trPr>
        <w:tc>
          <w:tcPr>
            <w:tcW w:w="4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40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408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7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 w:rsidTr="00A240B2">
        <w:trPr>
          <w:cantSplit/>
          <w:trHeight w:val="483"/>
          <w:tblHeader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70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78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 w:rsidTr="00A240B2">
        <w:trPr>
          <w:cantSplit/>
          <w:trHeight w:val="645"/>
          <w:tblHeader/>
        </w:trPr>
        <w:tc>
          <w:tcPr>
            <w:tcW w:w="4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821,9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910,9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34,8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38,6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89,0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3,8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10,8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226,9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214,5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9,6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-12,4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-5,5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595,0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696,4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29,5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101,4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4,3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17,0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1164,8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1361,2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49,3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57,7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196,4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16,9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-569,8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-664,8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-24,1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-28,2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-95,0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16,7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1539,7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1449,0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65,2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61,4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-90,7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-3,8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-5,9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217,1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288,3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12,2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71,2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32,8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7,0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96,3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89,3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1275,7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350,0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1071,5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-166,8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-7,0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-15,6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1071,5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38,3</w:t>
            </w:r>
          </w:p>
        </w:tc>
        <w:tc>
          <w:tcPr>
            <w:tcW w:w="17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-166,8</w:t>
            </w:r>
          </w:p>
        </w:tc>
        <w:tc>
          <w:tcPr>
            <w:tcW w:w="12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-7,0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-15,6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11,4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21,5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88,6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225,2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120,5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5,1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-104,7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-4,4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-46,5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14,3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2362,3</w:t>
            </w:r>
          </w:p>
        </w:tc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70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-1,6</w:t>
            </w: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-0,1</w:t>
            </w:r>
          </w:p>
        </w:tc>
      </w:tr>
      <w:tr w:rsidR="0050528A" w:rsidRPr="00A240B2" w:rsidTr="00A240B2">
        <w:trPr>
          <w:cantSplit/>
          <w:trHeight w:val="259"/>
        </w:trPr>
        <w:tc>
          <w:tcPr>
            <w:tcW w:w="14764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1506,8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1510,0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63,8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64,0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3,2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0,2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9,1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9,1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вкладений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607,4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610,6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25,7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25,9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3,2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0,5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855,5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850,7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36,2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-4,8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-0,6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693,6</w:t>
            </w:r>
          </w:p>
        </w:tc>
        <w:tc>
          <w:tcPr>
            <w:tcW w:w="12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708,2</w:t>
            </w:r>
          </w:p>
        </w:tc>
        <w:tc>
          <w:tcPr>
            <w:tcW w:w="1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30,0</w:t>
            </w:r>
          </w:p>
        </w:tc>
        <w:tc>
          <w:tcPr>
            <w:tcW w:w="16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14,6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9,6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8,6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860,0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позабюджетних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1,4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-21,0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-0,9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-38,2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20,1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11,9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145,1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71,9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33,0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1,4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84,8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58,8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6,9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-51,9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-2,2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-88,3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 w:rsidTr="00A240B2">
        <w:trPr>
          <w:cantSplit/>
          <w:trHeight w:val="2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2362,3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-1,6</w:t>
            </w:r>
          </w:p>
        </w:tc>
        <w:tc>
          <w:tcPr>
            <w:tcW w:w="1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A240B2">
              <w:rPr>
                <w:b/>
                <w:bCs/>
                <w:color w:val="auto"/>
                <w:sz w:val="20"/>
                <w:szCs w:val="20"/>
                <w:lang w:val="uk-UA"/>
              </w:rPr>
              <w:t>-0,1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</w:t>
      </w:r>
    </w:p>
    <w:p w:rsidR="00A240B2" w:rsidRDefault="00A240B2" w:rsidP="00A240B2">
      <w:pPr>
        <w:keepNext/>
        <w:widowControl w:val="0"/>
        <w:tabs>
          <w:tab w:val="right" w:pos="14400"/>
        </w:tabs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tabs>
          <w:tab w:val="right" w:pos="1440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завод»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2003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</w:p>
    <w:tbl>
      <w:tblPr>
        <w:tblW w:w="14884" w:type="dxa"/>
        <w:tblInd w:w="93" w:type="dxa"/>
        <w:tblLook w:val="0000" w:firstRow="0" w:lastRow="0" w:firstColumn="0" w:lastColumn="0" w:noHBand="0" w:noVBand="0"/>
      </w:tblPr>
      <w:tblGrid>
        <w:gridCol w:w="4660"/>
        <w:gridCol w:w="940"/>
        <w:gridCol w:w="1204"/>
        <w:gridCol w:w="1204"/>
        <w:gridCol w:w="1204"/>
        <w:gridCol w:w="1204"/>
        <w:gridCol w:w="1586"/>
        <w:gridCol w:w="1174"/>
        <w:gridCol w:w="1708"/>
      </w:tblGrid>
      <w:tr w:rsidR="0050528A" w:rsidRPr="00A240B2">
        <w:trPr>
          <w:cantSplit/>
          <w:trHeight w:val="525"/>
          <w:tblHeader/>
        </w:trPr>
        <w:tc>
          <w:tcPr>
            <w:tcW w:w="4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910,9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1606,0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695,1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76,31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214,5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87,0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-127,5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-6,6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-59,44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696,4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1519,0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822,6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118,12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1361,2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2323,3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962,1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70,68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-664,8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-804,3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-28,2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-22,9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-139,5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20,98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1449,0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1906,1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457,1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-7,1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31,55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288,3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434,5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50,71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96,3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-62,72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311,11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1203,4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33,02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1203,4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298,7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33,02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50,00</w:t>
            </w:r>
          </w:p>
        </w:tc>
      </w:tr>
      <w:tr w:rsidR="0050528A" w:rsidRPr="00A240B2">
        <w:trPr>
          <w:cantSplit/>
          <w:trHeight w:val="525"/>
          <w:tblHeader/>
        </w:trPr>
        <w:tc>
          <w:tcPr>
            <w:tcW w:w="4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виданими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авансами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117,8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3,4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117,8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114,42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-83,0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-68,88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50,00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1152,6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48,82</w:t>
            </w:r>
          </w:p>
        </w:tc>
      </w:tr>
      <w:tr w:rsidR="0050528A" w:rsidRPr="00A240B2" w:rsidTr="00A240B2">
        <w:trPr>
          <w:cantSplit/>
          <w:trHeight w:val="269"/>
        </w:trPr>
        <w:tc>
          <w:tcPr>
            <w:tcW w:w="148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1510,0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1336,8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64,0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-173,2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-25,9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-11,47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вкладений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-685,6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-29,0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437,4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-173,2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-13,4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-28,37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виплат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зобовязання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850,7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2124,6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36,0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1273,9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149,75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Короткострокові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банків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877,8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877,8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708,2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992,0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283,8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-1,8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40,07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одержаних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92,71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позабюджетних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-15,6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-45,88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208,46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71,9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98,7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37,27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51,8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44,9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650,72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1152,6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48,82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</w:t>
      </w:r>
    </w:p>
    <w:p w:rsidR="00A240B2" w:rsidRDefault="00A240B2" w:rsidP="00A240B2">
      <w:pPr>
        <w:keepNext/>
        <w:widowControl w:val="0"/>
        <w:tabs>
          <w:tab w:val="right" w:pos="14940"/>
        </w:tabs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tabs>
          <w:tab w:val="right" w:pos="14940"/>
        </w:tabs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завод»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2004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</w:p>
    <w:tbl>
      <w:tblPr>
        <w:tblW w:w="1513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515"/>
        <w:gridCol w:w="900"/>
        <w:gridCol w:w="1260"/>
        <w:gridCol w:w="1260"/>
        <w:gridCol w:w="1260"/>
        <w:gridCol w:w="1260"/>
        <w:gridCol w:w="1620"/>
        <w:gridCol w:w="1260"/>
        <w:gridCol w:w="1800"/>
      </w:tblGrid>
      <w:tr w:rsidR="0050528A" w:rsidRPr="00A240B2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1860,0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-13,2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1519,0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84,1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2323,3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2616,8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12,6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804,3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1013,7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-5,2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1906,1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3851,8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67,4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1945,7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102,1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-43,2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472,3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1357,8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472,3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55"/>
          <w:tblHeader/>
        </w:trPr>
        <w:tc>
          <w:tcPr>
            <w:tcW w:w="45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5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-25,6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-94,1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виданими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авансами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1379,4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1379,4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328,4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-12,6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-33,6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62,6</w:t>
            </w:r>
          </w:p>
        </w:tc>
      </w:tr>
      <w:tr w:rsidR="0050528A" w:rsidRPr="00A240B2" w:rsidTr="00A240B2">
        <w:trPr>
          <w:cantSplit/>
          <w:trHeight w:val="217"/>
        </w:trPr>
        <w:tc>
          <w:tcPr>
            <w:tcW w:w="1513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1351,2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2281,5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39,9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930,3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вкладений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-685,6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-19,5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1382,0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930,2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205,9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виплат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зобов’язання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2162,1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3369,7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59,0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Короткострокові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банків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877,8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497,4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-380,4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-16,3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-43,3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1036,7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2664,2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1627,5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157,0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одержаних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позабюджетних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77,4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-25,8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-33,3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47,8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-91,4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49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62,6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</w:t>
      </w: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завод»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2005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</w:p>
    <w:tbl>
      <w:tblPr>
        <w:tblW w:w="15124" w:type="dxa"/>
        <w:tblInd w:w="93" w:type="dxa"/>
        <w:tblLook w:val="0000" w:firstRow="0" w:lastRow="0" w:firstColumn="0" w:lastColumn="0" w:noHBand="0" w:noVBand="0"/>
      </w:tblPr>
      <w:tblGrid>
        <w:gridCol w:w="4720"/>
        <w:gridCol w:w="1120"/>
        <w:gridCol w:w="1204"/>
        <w:gridCol w:w="1204"/>
        <w:gridCol w:w="1204"/>
        <w:gridCol w:w="1204"/>
        <w:gridCol w:w="1586"/>
        <w:gridCol w:w="1174"/>
        <w:gridCol w:w="1708"/>
      </w:tblGrid>
      <w:tr w:rsidR="0050528A" w:rsidRPr="00A240B2">
        <w:trPr>
          <w:cantSplit/>
          <w:trHeight w:val="495"/>
          <w:tblHeader/>
        </w:trPr>
        <w:tc>
          <w:tcPr>
            <w:tcW w:w="4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1860,0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2912,3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37,1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1052,3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4,6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56,6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110,6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796,9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620,5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1603,1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1944,3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341,2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2616,8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3268,8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45,8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41,7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652,0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1013,7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1324,5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310,8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30,7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146,3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171,1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3851,8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4927,7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67,4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1075,9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487,1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1114,3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627,2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128,8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1274,8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16,3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1206,5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1766,5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-600,7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-16,4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-32,8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32,0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-600,7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-16,4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-32,8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40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4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58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70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1,6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26,1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24,5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1531,3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виданими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авансами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1379,4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253,1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-1126,3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-20,9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-81,7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737,7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697,0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1712,5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290,3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265,4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1065,9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оборотні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17,6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-17,6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126,7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2130,1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37,3</w:t>
            </w:r>
          </w:p>
        </w:tc>
      </w:tr>
      <w:tr w:rsidR="0050528A" w:rsidRPr="00A240B2">
        <w:trPr>
          <w:cantSplit/>
          <w:trHeight w:val="270"/>
        </w:trPr>
        <w:tc>
          <w:tcPr>
            <w:tcW w:w="1512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2281,5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3331,4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39,9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1049,9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12,0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-3,3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1382,0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2431,9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24,2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1049,9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6,8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76,0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виплат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зобов’язання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3369,7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4443,9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59,0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56,7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1074,2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-2,3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31,9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Короткострокові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банків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497,4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8,7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-497,4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-8,7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2664,2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3095,7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46,6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39,5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431,5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-7,2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16,2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одержаних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авансів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-0,1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-45,5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34,5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197,3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162,8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471,9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51,6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73,0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21,4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41,5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108,0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162,2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54,2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50,2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9D50E8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240B2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910,3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906,2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11,5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22102,4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240B2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2130,1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240B2" w:rsidRDefault="0050528A" w:rsidP="00A240B2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240B2">
              <w:rPr>
                <w:color w:val="auto"/>
                <w:sz w:val="20"/>
                <w:szCs w:val="20"/>
                <w:lang w:val="uk-UA"/>
              </w:rPr>
              <w:t>37,3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</w:t>
      </w: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Д.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Горизонтальний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аналіз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завод»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2006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рік</w:t>
      </w:r>
    </w:p>
    <w:tbl>
      <w:tblPr>
        <w:tblW w:w="149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335"/>
        <w:gridCol w:w="900"/>
        <w:gridCol w:w="1260"/>
        <w:gridCol w:w="1260"/>
        <w:gridCol w:w="1260"/>
        <w:gridCol w:w="1260"/>
        <w:gridCol w:w="1620"/>
        <w:gridCol w:w="1260"/>
        <w:gridCol w:w="1800"/>
      </w:tblGrid>
      <w:tr w:rsidR="0050528A" w:rsidRPr="00A240B2">
        <w:trPr>
          <w:cantSplit/>
          <w:trHeight w:val="495"/>
          <w:tblHeader/>
        </w:trPr>
        <w:tc>
          <w:tcPr>
            <w:tcW w:w="4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2912,3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3857,1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944,8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32,4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796,9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1339,0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542,1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1944,3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2347,0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20,7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3268,8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4120,6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41,7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851,8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1324,5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1773,6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449,1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171,1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171,1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4927,7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4973,7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62,8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56,3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-6,5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1114,3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1174,5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1274,8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587,8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-687,0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-9,6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-53,9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-12,4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1077,1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-152,3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-3,5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-12,4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-26,1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-100,0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3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Актив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Значення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показника,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тис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валюті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балансу,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Зміна</w:t>
            </w:r>
          </w:p>
        </w:tc>
      </w:tr>
      <w:tr w:rsidR="0050528A" w:rsidRPr="00A240B2">
        <w:trPr>
          <w:cantSplit/>
          <w:trHeight w:val="483"/>
          <w:tblHeader/>
        </w:trPr>
        <w:tc>
          <w:tcPr>
            <w:tcW w:w="4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звітного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періоду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абсолютної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величини,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тис.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грн.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питомої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ваги,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відношенню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початку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періода,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%</w:t>
            </w:r>
          </w:p>
        </w:tc>
      </w:tr>
      <w:tr w:rsidR="0050528A" w:rsidRPr="00A240B2">
        <w:trPr>
          <w:cantSplit/>
          <w:trHeight w:val="495"/>
          <w:tblHeader/>
        </w:trPr>
        <w:tc>
          <w:tcPr>
            <w:tcW w:w="43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виданими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авансами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253,1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1149,4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13,0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896,3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9,8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354,1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739,7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-120,4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-2,4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-16,3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290,3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69,0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23,8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оборотні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8835,4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992,0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12,6</w:t>
            </w:r>
          </w:p>
        </w:tc>
      </w:tr>
      <w:tr w:rsidR="0050528A" w:rsidRPr="00A240B2">
        <w:trPr>
          <w:cantSplit/>
          <w:trHeight w:val="270"/>
        </w:trPr>
        <w:tc>
          <w:tcPr>
            <w:tcW w:w="1495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3331,4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4703,8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1372,4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10,8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41,2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2431,9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3804,3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1372,4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56,4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виплат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зобов’язання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зобов’язання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4443,9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4063,7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56,7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46,0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-380,2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-10,7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-8,6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3095,7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2498,9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39,5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28,3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-596,8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-11,2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-19,3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одержаних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авансів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601,9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197,3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73,0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84,2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15,3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10,4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910,3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1062,2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151,9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16,7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</w:t>
            </w:r>
          </w:p>
        </w:tc>
      </w:tr>
      <w:tr w:rsidR="0050528A" w:rsidRPr="00A240B2">
        <w:trPr>
          <w:cantSplit/>
          <w:trHeight w:val="222"/>
        </w:trPr>
        <w:tc>
          <w:tcPr>
            <w:tcW w:w="4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8835,4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992,0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12,6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</w:t>
      </w: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Е.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Показники-індикатори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кризового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стану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та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загрози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банкрутства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підприємства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методикою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О.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Лігоненка</w:t>
      </w:r>
    </w:p>
    <w:tbl>
      <w:tblPr>
        <w:tblW w:w="14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0"/>
        <w:gridCol w:w="3096"/>
        <w:gridCol w:w="1260"/>
        <w:gridCol w:w="1080"/>
        <w:gridCol w:w="1080"/>
        <w:gridCol w:w="1260"/>
        <w:gridCol w:w="1080"/>
        <w:gridCol w:w="1080"/>
        <w:gridCol w:w="1080"/>
      </w:tblGrid>
      <w:tr w:rsidR="0050528A" w:rsidRPr="00A240B2">
        <w:trPr>
          <w:cantSplit/>
          <w:trHeight w:val="175"/>
          <w:tblHeader/>
          <w:jc w:val="center"/>
        </w:trPr>
        <w:tc>
          <w:tcPr>
            <w:tcW w:w="3400" w:type="dxa"/>
            <w:vMerge w:val="restart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096" w:type="dxa"/>
            <w:vMerge w:val="restart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Алгоритм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розрахунку</w:t>
            </w:r>
          </w:p>
        </w:tc>
        <w:tc>
          <w:tcPr>
            <w:tcW w:w="7920" w:type="dxa"/>
            <w:gridSpan w:val="7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Значення</w:t>
            </w:r>
          </w:p>
        </w:tc>
      </w:tr>
      <w:tr w:rsidR="0050528A" w:rsidRPr="00A240B2">
        <w:trPr>
          <w:cantSplit/>
          <w:trHeight w:val="240"/>
          <w:tblHeader/>
          <w:jc w:val="center"/>
        </w:trPr>
        <w:tc>
          <w:tcPr>
            <w:tcW w:w="3400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096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gridSpan w:val="2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2002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2003</w:t>
            </w:r>
          </w:p>
        </w:tc>
        <w:tc>
          <w:tcPr>
            <w:tcW w:w="2340" w:type="dxa"/>
            <w:gridSpan w:val="2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2004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2006</w:t>
            </w:r>
          </w:p>
        </w:tc>
      </w:tr>
      <w:tr w:rsidR="0050528A" w:rsidRPr="00A240B2">
        <w:trPr>
          <w:cantSplit/>
          <w:trHeight w:val="180"/>
          <w:tblHeader/>
          <w:jc w:val="center"/>
        </w:trPr>
        <w:tc>
          <w:tcPr>
            <w:tcW w:w="3400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096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26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</w:tr>
      <w:tr w:rsidR="0050528A" w:rsidRPr="00A240B2">
        <w:trPr>
          <w:cantSplit/>
          <w:trHeight w:val="255"/>
          <w:jc w:val="center"/>
        </w:trPr>
        <w:tc>
          <w:tcPr>
            <w:tcW w:w="14416" w:type="dxa"/>
            <w:gridSpan w:val="9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Платоспроможність</w:t>
            </w:r>
          </w:p>
        </w:tc>
      </w:tr>
      <w:tr w:rsidR="0050528A" w:rsidRPr="00A240B2">
        <w:trPr>
          <w:cantSplit/>
          <w:trHeight w:val="51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негайної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(абсолютної)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ліквідності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45" type="#_x0000_t75" style="width:96.75pt;height:31.5pt">
                  <v:imagedata r:id="rId28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0,263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0,142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0,017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0,017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0,007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0,064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0,088</w:t>
            </w:r>
          </w:p>
        </w:tc>
      </w:tr>
      <w:tr w:rsidR="0050528A" w:rsidRPr="00A240B2">
        <w:trPr>
          <w:cantSplit/>
          <w:trHeight w:val="525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Загальний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покриття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(поточної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ліквідності)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46" type="#_x0000_t75" style="width:95.25pt;height:30.75pt">
                  <v:imagedata r:id="rId29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1,800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1,703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0,882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0,882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1,123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1,092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1,204</w:t>
            </w:r>
          </w:p>
        </w:tc>
      </w:tr>
      <w:tr w:rsidR="0050528A" w:rsidRPr="00A240B2">
        <w:trPr>
          <w:cantSplit/>
          <w:trHeight w:val="525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Проміжний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покриття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47" type="#_x0000_t75" style="width:95.25pt;height:30.75pt">
                  <v:imagedata r:id="rId30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1,538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1,250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0,661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0,662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0,955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0,563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0,776</w:t>
            </w:r>
          </w:p>
        </w:tc>
      </w:tr>
      <w:tr w:rsidR="0050528A" w:rsidRPr="00A240B2">
        <w:trPr>
          <w:cantSplit/>
          <w:trHeight w:val="264"/>
          <w:jc w:val="center"/>
        </w:trPr>
        <w:tc>
          <w:tcPr>
            <w:tcW w:w="14416" w:type="dxa"/>
            <w:gridSpan w:val="9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Фінансова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стійкість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(стан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структура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капіталу)</w:t>
            </w:r>
          </w:p>
        </w:tc>
      </w:tr>
      <w:tr w:rsidR="0050528A" w:rsidRPr="00A240B2">
        <w:trPr>
          <w:cantSplit/>
          <w:trHeight w:val="51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забезпеченості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власними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коштами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48" type="#_x0000_t75" style="width:66pt;height:30.75pt">
                  <v:imagedata r:id="rId31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0,445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0,413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-0,141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-0,134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0,109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0,085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0,170</w:t>
            </w:r>
          </w:p>
        </w:tc>
      </w:tr>
      <w:tr w:rsidR="0050528A" w:rsidRPr="00A240B2">
        <w:trPr>
          <w:cantSplit/>
          <w:trHeight w:val="54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фінансової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автономії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49" type="#_x0000_t75" style="width:36.75pt;height:30.75pt">
                  <v:imagedata r:id="rId32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0,638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0,640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0,380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0,385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0,399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0,425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0,532</w:t>
            </w:r>
          </w:p>
        </w:tc>
      </w:tr>
      <w:tr w:rsidR="0050528A" w:rsidRPr="00A240B2">
        <w:trPr>
          <w:cantSplit/>
          <w:trHeight w:val="525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заборгованості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0" type="#_x0000_t75" style="width:123.75pt;height:32.25pt">
                  <v:imagedata r:id="rId33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0,362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0,360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0,620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0,615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0,601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0,575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0,468</w:t>
            </w:r>
          </w:p>
        </w:tc>
      </w:tr>
      <w:tr w:rsidR="0050528A" w:rsidRPr="00A240B2">
        <w:trPr>
          <w:cantSplit/>
          <w:trHeight w:val="525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Коефіцієнт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фінансового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лівериджу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1" type="#_x0000_t75" style="width:66pt;height:30.75pt">
                  <v:imagedata r:id="rId34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1,761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1,775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0,614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0,625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0,665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0,783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1,138</w:t>
            </w:r>
          </w:p>
        </w:tc>
      </w:tr>
      <w:tr w:rsidR="0050528A" w:rsidRPr="00A240B2">
        <w:trPr>
          <w:cantSplit/>
          <w:trHeight w:val="270"/>
          <w:jc w:val="center"/>
        </w:trPr>
        <w:tc>
          <w:tcPr>
            <w:tcW w:w="14416" w:type="dxa"/>
            <w:gridSpan w:val="9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Ділова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активність</w:t>
            </w:r>
          </w:p>
        </w:tc>
      </w:tr>
      <w:tr w:rsidR="0050528A" w:rsidRPr="00A240B2">
        <w:trPr>
          <w:cantSplit/>
          <w:trHeight w:val="42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Оборотність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обігових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коштів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2" type="#_x0000_t75" style="width:52.5pt;height:30pt">
                  <v:imagedata r:id="rId35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9,983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10,191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13,549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13,549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7,724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7,519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7,494</w:t>
            </w:r>
          </w:p>
        </w:tc>
      </w:tr>
      <w:tr w:rsidR="0050528A" w:rsidRPr="00A240B2">
        <w:trPr>
          <w:cantSplit/>
          <w:trHeight w:val="175"/>
          <w:tblHeader/>
          <w:jc w:val="center"/>
        </w:trPr>
        <w:tc>
          <w:tcPr>
            <w:tcW w:w="3400" w:type="dxa"/>
            <w:vMerge w:val="restart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Показники</w:t>
            </w:r>
          </w:p>
        </w:tc>
        <w:tc>
          <w:tcPr>
            <w:tcW w:w="3096" w:type="dxa"/>
            <w:vMerge w:val="restart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Алгоритм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розрахунку</w:t>
            </w:r>
          </w:p>
        </w:tc>
        <w:tc>
          <w:tcPr>
            <w:tcW w:w="7920" w:type="dxa"/>
            <w:gridSpan w:val="7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Значення</w:t>
            </w:r>
          </w:p>
        </w:tc>
      </w:tr>
      <w:tr w:rsidR="0050528A" w:rsidRPr="00A240B2">
        <w:trPr>
          <w:cantSplit/>
          <w:trHeight w:val="240"/>
          <w:tblHeader/>
          <w:jc w:val="center"/>
        </w:trPr>
        <w:tc>
          <w:tcPr>
            <w:tcW w:w="3400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096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340" w:type="dxa"/>
            <w:gridSpan w:val="2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2002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2003</w:t>
            </w:r>
          </w:p>
        </w:tc>
        <w:tc>
          <w:tcPr>
            <w:tcW w:w="2340" w:type="dxa"/>
            <w:gridSpan w:val="2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2004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2006</w:t>
            </w:r>
          </w:p>
        </w:tc>
      </w:tr>
      <w:tr w:rsidR="0050528A" w:rsidRPr="00A240B2">
        <w:trPr>
          <w:cantSplit/>
          <w:trHeight w:val="180"/>
          <w:tblHeader/>
          <w:jc w:val="center"/>
        </w:trPr>
        <w:tc>
          <w:tcPr>
            <w:tcW w:w="3400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3096" w:type="dxa"/>
            <w:vMerge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26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</w:tr>
      <w:tr w:rsidR="0050528A" w:rsidRPr="00A240B2">
        <w:trPr>
          <w:cantSplit/>
          <w:trHeight w:val="54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Оборотність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ТМЗ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3" type="#_x0000_t75" style="width:60pt;height:29.25pt">
                  <v:imagedata r:id="rId36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64,932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64,021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51,891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49,774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47,489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14,070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19,048</w:t>
            </w:r>
          </w:p>
        </w:tc>
      </w:tr>
      <w:tr w:rsidR="0050528A" w:rsidRPr="00A240B2" w:rsidTr="00A45B7F">
        <w:trPr>
          <w:cantSplit/>
          <w:trHeight w:val="68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Оборотність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кредиторської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заборгованості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4" type="#_x0000_t75" style="width:61.5pt;height:28.5pt">
                  <v:imagedata r:id="rId37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17,024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16,880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19,732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18,347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9,217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7,564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8,261</w:t>
            </w:r>
          </w:p>
        </w:tc>
      </w:tr>
      <w:tr w:rsidR="0050528A" w:rsidRPr="00A240B2">
        <w:trPr>
          <w:cantSplit/>
          <w:trHeight w:val="255"/>
          <w:jc w:val="center"/>
        </w:trPr>
        <w:tc>
          <w:tcPr>
            <w:tcW w:w="14416" w:type="dxa"/>
            <w:gridSpan w:val="9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Прибутковість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(інтенсивність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використання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ресурсів)</w:t>
            </w:r>
          </w:p>
        </w:tc>
      </w:tr>
      <w:tr w:rsidR="0050528A" w:rsidRPr="00A240B2" w:rsidTr="00A45B7F">
        <w:trPr>
          <w:cantSplit/>
          <w:trHeight w:val="582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Чиста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(збитковість)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власного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капіталу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5" type="#_x0000_t75" style="width:61.5pt;height:28.5pt">
                  <v:imagedata r:id="rId38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0,404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0,122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-0,130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0,737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0,423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0,306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0,294</w:t>
            </w:r>
          </w:p>
        </w:tc>
      </w:tr>
      <w:tr w:rsidR="0050528A" w:rsidRPr="00A240B2" w:rsidTr="00A45B7F">
        <w:trPr>
          <w:cantSplit/>
          <w:trHeight w:val="652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Звичайна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(збитковість)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власного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капіталу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6" type="#_x0000_t75" style="width:116.25pt;height:29.25pt">
                  <v:imagedata r:id="rId39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0,487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0,234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0,078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0,959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0,512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0,414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0,418</w:t>
            </w:r>
          </w:p>
        </w:tc>
      </w:tr>
      <w:tr w:rsidR="0050528A" w:rsidRPr="00A240B2">
        <w:trPr>
          <w:cantSplit/>
          <w:trHeight w:val="44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операційної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діяльності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7" type="#_x0000_t75" style="width:66pt;height:29.25pt">
                  <v:imagedata r:id="rId40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0,310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0,148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0,050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0,365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0,218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0,186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0,226</w:t>
            </w:r>
          </w:p>
        </w:tc>
      </w:tr>
      <w:tr w:rsidR="0050528A" w:rsidRPr="00A240B2">
        <w:trPr>
          <w:cantSplit/>
          <w:trHeight w:val="54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Чиста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підприємства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8" type="#_x0000_t75" style="width:139.5pt;height:23.25pt">
                  <v:imagedata r:id="rId41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0,258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0,078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-0,049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0,294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0,169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0,130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0,157</w:t>
            </w:r>
          </w:p>
        </w:tc>
      </w:tr>
      <w:tr w:rsidR="0050528A" w:rsidRPr="00A240B2">
        <w:trPr>
          <w:cantSplit/>
          <w:trHeight w:val="602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реалізованої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продукції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59" type="#_x0000_t75" style="width:61.5pt;height:28.5pt">
                  <v:imagedata r:id="rId42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0,341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0,173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0,349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0,634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0,573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0,438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0,420</w:t>
            </w:r>
          </w:p>
        </w:tc>
      </w:tr>
      <w:tr w:rsidR="0050528A" w:rsidRPr="00A240B2">
        <w:trPr>
          <w:cantSplit/>
          <w:trHeight w:val="54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Питома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вага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прибутку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загальному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обсязі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реалізованої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продукції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60" type="#_x0000_t75" style="width:61.5pt;height:28.5pt">
                  <v:imagedata r:id="rId43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0,044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0,023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0,039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0,072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0,092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0,077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0,083</w:t>
            </w:r>
          </w:p>
        </w:tc>
      </w:tr>
      <w:tr w:rsidR="0050528A" w:rsidRPr="00A240B2" w:rsidTr="00A45B7F">
        <w:trPr>
          <w:cantSplit/>
          <w:trHeight w:val="333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Чистий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працюючий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61" type="#_x0000_t75" style="width:60.75pt;height:13.5pt">
                  <v:imagedata r:id="rId44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684,200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598,30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-218,50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-256,000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482,10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483,80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910,00</w:t>
            </w:r>
          </w:p>
        </w:tc>
      </w:tr>
      <w:tr w:rsidR="0050528A" w:rsidRPr="00A240B2">
        <w:trPr>
          <w:cantSplit/>
          <w:trHeight w:val="850"/>
          <w:jc w:val="center"/>
        </w:trPr>
        <w:tc>
          <w:tcPr>
            <w:tcW w:w="3400" w:type="dxa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Рентабельність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інвестиційної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діяльності</w:t>
            </w:r>
          </w:p>
        </w:tc>
        <w:tc>
          <w:tcPr>
            <w:tcW w:w="3096" w:type="dxa"/>
          </w:tcPr>
          <w:p w:rsidR="0050528A" w:rsidRPr="00A45B7F" w:rsidRDefault="003E2EDE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pict>
                <v:shape id="_x0000_i1062" type="#_x0000_t75" style="width:61.5pt;height:28.5pt">
                  <v:imagedata r:id="rId45" o:title=""/>
                </v:shape>
              </w:pic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-1,000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4,500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-0,923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-1,000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-0,710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-0,609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hanging="43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-0,764</w:t>
            </w:r>
          </w:p>
        </w:tc>
      </w:tr>
    </w:tbl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br w:type="page"/>
        <w:t>Додаток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</w:t>
      </w:r>
    </w:p>
    <w:p w:rsidR="006522DD" w:rsidRPr="00A240B2" w:rsidRDefault="006522DD" w:rsidP="00A240B2">
      <w:pPr>
        <w:keepNext/>
        <w:widowControl w:val="0"/>
        <w:rPr>
          <w:color w:val="auto"/>
          <w:szCs w:val="28"/>
          <w:lang w:val="uk-UA"/>
        </w:rPr>
      </w:pPr>
    </w:p>
    <w:p w:rsidR="0050528A" w:rsidRPr="00A240B2" w:rsidRDefault="0050528A" w:rsidP="00A240B2">
      <w:pPr>
        <w:keepNext/>
        <w:widowControl w:val="0"/>
        <w:rPr>
          <w:color w:val="auto"/>
          <w:szCs w:val="28"/>
          <w:lang w:val="uk-UA"/>
        </w:rPr>
      </w:pPr>
      <w:r w:rsidRPr="00A240B2">
        <w:rPr>
          <w:color w:val="auto"/>
          <w:szCs w:val="28"/>
          <w:lang w:val="uk-UA"/>
        </w:rPr>
        <w:t>Таблиця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Ж.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1</w:t>
      </w:r>
      <w:r w:rsidR="006522DD" w:rsidRPr="00A240B2">
        <w:rPr>
          <w:color w:val="auto"/>
          <w:szCs w:val="28"/>
          <w:lang w:val="uk-UA"/>
        </w:rPr>
        <w:t>.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Зведена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форма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балансу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на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ВАТ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«</w:t>
      </w:r>
      <w:r w:rsidRPr="00A240B2">
        <w:rPr>
          <w:color w:val="auto"/>
          <w:szCs w:val="28"/>
          <w:lang w:val="uk-UA"/>
        </w:rPr>
        <w:t>Білоцерківський</w:t>
      </w:r>
      <w:r w:rsidR="009D50E8">
        <w:rPr>
          <w:color w:val="auto"/>
          <w:szCs w:val="28"/>
          <w:lang w:val="uk-UA"/>
        </w:rPr>
        <w:t xml:space="preserve"> </w:t>
      </w:r>
      <w:r w:rsidRPr="00A240B2">
        <w:rPr>
          <w:color w:val="auto"/>
          <w:szCs w:val="28"/>
          <w:lang w:val="uk-UA"/>
        </w:rPr>
        <w:t>молочний</w:t>
      </w:r>
      <w:r w:rsidR="009D50E8">
        <w:rPr>
          <w:color w:val="auto"/>
          <w:szCs w:val="28"/>
          <w:lang w:val="uk-UA"/>
        </w:rPr>
        <w:t xml:space="preserve"> </w:t>
      </w:r>
      <w:r w:rsidR="0051271D">
        <w:rPr>
          <w:color w:val="auto"/>
          <w:szCs w:val="28"/>
          <w:lang w:val="uk-UA"/>
        </w:rPr>
        <w:t>завод»</w:t>
      </w:r>
    </w:p>
    <w:tbl>
      <w:tblPr>
        <w:tblW w:w="149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5"/>
        <w:gridCol w:w="1260"/>
        <w:gridCol w:w="1620"/>
        <w:gridCol w:w="1080"/>
        <w:gridCol w:w="1080"/>
        <w:gridCol w:w="46"/>
        <w:gridCol w:w="134"/>
        <w:gridCol w:w="1260"/>
        <w:gridCol w:w="1440"/>
        <w:gridCol w:w="1260"/>
        <w:gridCol w:w="1080"/>
      </w:tblGrid>
      <w:tr w:rsidR="0050528A" w:rsidRPr="00A45B7F">
        <w:trPr>
          <w:trHeight w:val="330"/>
          <w:tblHeader/>
        </w:trPr>
        <w:tc>
          <w:tcPr>
            <w:tcW w:w="4695" w:type="dxa"/>
            <w:vMerge w:val="restart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Назва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показника</w:t>
            </w:r>
          </w:p>
        </w:tc>
        <w:tc>
          <w:tcPr>
            <w:tcW w:w="1260" w:type="dxa"/>
            <w:vMerge w:val="restart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Код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рядка</w:t>
            </w:r>
          </w:p>
        </w:tc>
        <w:tc>
          <w:tcPr>
            <w:tcW w:w="9000" w:type="dxa"/>
            <w:gridSpan w:val="9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Значення</w:t>
            </w:r>
          </w:p>
        </w:tc>
      </w:tr>
      <w:tr w:rsidR="0050528A" w:rsidRPr="00A45B7F">
        <w:trPr>
          <w:trHeight w:val="330"/>
          <w:tblHeader/>
        </w:trPr>
        <w:tc>
          <w:tcPr>
            <w:tcW w:w="4695" w:type="dxa"/>
            <w:vMerge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700" w:type="dxa"/>
            <w:gridSpan w:val="2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2002</w:t>
            </w:r>
          </w:p>
        </w:tc>
        <w:tc>
          <w:tcPr>
            <w:tcW w:w="1260" w:type="dxa"/>
            <w:gridSpan w:val="3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2003</w:t>
            </w:r>
          </w:p>
        </w:tc>
        <w:tc>
          <w:tcPr>
            <w:tcW w:w="2700" w:type="dxa"/>
            <w:gridSpan w:val="2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2004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2005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2006</w:t>
            </w:r>
          </w:p>
        </w:tc>
      </w:tr>
      <w:tr w:rsidR="0050528A" w:rsidRPr="00A45B7F">
        <w:trPr>
          <w:trHeight w:val="330"/>
          <w:tblHeader/>
        </w:trPr>
        <w:tc>
          <w:tcPr>
            <w:tcW w:w="4695" w:type="dxa"/>
            <w:vMerge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vMerge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62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260" w:type="dxa"/>
            <w:gridSpan w:val="3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Початок</w:t>
            </w:r>
          </w:p>
        </w:tc>
        <w:tc>
          <w:tcPr>
            <w:tcW w:w="144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26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  <w:tc>
          <w:tcPr>
            <w:tcW w:w="1080" w:type="dxa"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Кінець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Необоротні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821,9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910,9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1606,0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1606,0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1860,0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2912,3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3857,1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Незавершене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будівництво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020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226,9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214,5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87,0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87,0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110,6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796,9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1339,0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Основні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засоби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залишкова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595,0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696,4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1519,0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1519,0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1603,1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1944,3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2347,0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031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1164,8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1361,2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2323,3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2323,3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2616,8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3268,8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4120,6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знос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032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-569,8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-664,8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-804,3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804,3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1013,7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1324,5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1773,6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060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146,3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171,1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171,1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Оборотні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1539,7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1449,0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1906,1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1906,1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3851,8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4927,7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4973,7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Запаси: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виробничі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запаси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217,1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288,3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434,5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434,5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487,1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1114,3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1174,5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готова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продукція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96,3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35,9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35,9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1274,8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587,8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товари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0,2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0,9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3,7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послуги: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чиста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реалізаційна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1071,5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1203,4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1357,8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1077,1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первісна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вартість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161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1071,5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904,7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1203,4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1357,8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1830,1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1229,4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1077,1</w:t>
            </w: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16,8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25,2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27,2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1,6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виданими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авансами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117,8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1379,4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253,1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1149,4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дебіторська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11,4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21,5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46,1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9,5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737,7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619,3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Грошові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кошти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їх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еквіваленти: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національній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валюті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225,2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120,5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24,9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290,3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359,3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оборотні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активи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250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17,6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6,3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Витрати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270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0,8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1,2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1,5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4,6</w:t>
            </w:r>
          </w:p>
        </w:tc>
      </w:tr>
      <w:tr w:rsidR="0050528A" w:rsidRPr="00A45B7F">
        <w:trPr>
          <w:cantSplit/>
          <w:trHeight w:val="330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2362,3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26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8835,4</w:t>
            </w:r>
          </w:p>
        </w:tc>
      </w:tr>
      <w:tr w:rsidR="0050528A" w:rsidRPr="00A45B7F">
        <w:trPr>
          <w:cantSplit/>
          <w:trHeight w:val="454"/>
        </w:trPr>
        <w:tc>
          <w:tcPr>
            <w:tcW w:w="14955" w:type="dxa"/>
            <w:gridSpan w:val="11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Пасив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Власний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1506,8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1510,0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1336,8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1351,2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2281,5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3331,4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4703,8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Статутний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300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213,8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Додатковий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вкладений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320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дадатковий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капітал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685,6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685,7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Нерозподілений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прибуток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(непокритий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збиток)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607,4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610,6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437,4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451,8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1382,0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2431,9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3804,3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наступних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витрат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37,5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67,9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Забезпечення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виплат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персоналу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68,1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67,9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ІІІ.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Довгострокові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Відстрочені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податкові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зобовязання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460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14,4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IV.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620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855,5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850,7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2124,6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2162,1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3369,7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4443,9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4063,7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Короткострокові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кредити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банків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500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126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877,8</w:t>
            </w:r>
          </w:p>
        </w:tc>
        <w:tc>
          <w:tcPr>
            <w:tcW w:w="1394" w:type="dxa"/>
            <w:gridSpan w:val="2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877,8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497,4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Кредиторська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заборгованість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товари,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роботи,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693,6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708,2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992,0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1036,7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2664,2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3095,7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2498,9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за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розрахунками: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одержаних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авансів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540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9,9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37,9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бюджетом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550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9,6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18,5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21,4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34,5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197,3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201,5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позабюджетних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платежів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560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55,0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34,0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18,4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2,3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страхування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570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8,2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20,1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62,0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77,4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51,6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73,0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84,2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оплати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праці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580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38,9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71,9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98,7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98,7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108,0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162,2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179,0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9D50E8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Інші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поточні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="0050528A" w:rsidRPr="00A45B7F">
              <w:rPr>
                <w:color w:val="auto"/>
                <w:sz w:val="20"/>
                <w:szCs w:val="20"/>
                <w:lang w:val="uk-UA"/>
              </w:rPr>
              <w:t>зобов'язання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610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58,8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6,9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51,8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47,8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4,1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910,3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1062,2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V.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Доходи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майбутніх</w:t>
            </w:r>
            <w:r w:rsidR="009D50E8">
              <w:rPr>
                <w:color w:val="auto"/>
                <w:sz w:val="20"/>
                <w:szCs w:val="20"/>
                <w:lang w:val="uk-UA"/>
              </w:rPr>
              <w:t xml:space="preserve"> </w:t>
            </w:r>
            <w:r w:rsidRPr="00A45B7F">
              <w:rPr>
                <w:color w:val="auto"/>
                <w:sz w:val="20"/>
                <w:szCs w:val="20"/>
                <w:lang w:val="uk-UA"/>
              </w:rPr>
              <w:t>періодів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630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0,0</w:t>
            </w:r>
          </w:p>
        </w:tc>
      </w:tr>
      <w:tr w:rsidR="0050528A" w:rsidRPr="00A45B7F">
        <w:trPr>
          <w:cantSplit/>
          <w:trHeight w:val="315"/>
        </w:trPr>
        <w:tc>
          <w:tcPr>
            <w:tcW w:w="4695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Баланс</w:t>
            </w:r>
          </w:p>
        </w:tc>
        <w:tc>
          <w:tcPr>
            <w:tcW w:w="1260" w:type="dxa"/>
            <w:noWrap/>
            <w:vAlign w:val="bottom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640</w:t>
            </w:r>
          </w:p>
        </w:tc>
        <w:tc>
          <w:tcPr>
            <w:tcW w:w="162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2362,3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2360,7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440" w:type="dxa"/>
            <w:gridSpan w:val="3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3513,3</w:t>
            </w:r>
          </w:p>
        </w:tc>
        <w:tc>
          <w:tcPr>
            <w:tcW w:w="144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5713,3</w:t>
            </w:r>
          </w:p>
        </w:tc>
        <w:tc>
          <w:tcPr>
            <w:tcW w:w="126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7843,4</w:t>
            </w:r>
          </w:p>
        </w:tc>
        <w:tc>
          <w:tcPr>
            <w:tcW w:w="1080" w:type="dxa"/>
            <w:noWrap/>
            <w:vAlign w:val="center"/>
          </w:tcPr>
          <w:p w:rsidR="0050528A" w:rsidRPr="00A45B7F" w:rsidRDefault="0050528A" w:rsidP="00A45B7F">
            <w:pPr>
              <w:keepNext/>
              <w:widowControl w:val="0"/>
              <w:ind w:firstLine="0"/>
              <w:rPr>
                <w:color w:val="auto"/>
                <w:sz w:val="20"/>
                <w:szCs w:val="20"/>
                <w:lang w:val="uk-UA"/>
              </w:rPr>
            </w:pPr>
            <w:r w:rsidRPr="00A45B7F">
              <w:rPr>
                <w:color w:val="auto"/>
                <w:sz w:val="20"/>
                <w:szCs w:val="20"/>
                <w:lang w:val="uk-UA"/>
              </w:rPr>
              <w:t>8835,4</w:t>
            </w:r>
          </w:p>
        </w:tc>
      </w:tr>
    </w:tbl>
    <w:p w:rsidR="00A240B2" w:rsidRPr="00A45B7F" w:rsidRDefault="00A240B2" w:rsidP="00A45B7F">
      <w:pPr>
        <w:keepNext/>
        <w:widowControl w:val="0"/>
        <w:ind w:firstLine="0"/>
        <w:rPr>
          <w:color w:val="auto"/>
          <w:sz w:val="20"/>
          <w:szCs w:val="20"/>
          <w:lang w:val="uk-UA"/>
        </w:rPr>
      </w:pPr>
      <w:bookmarkStart w:id="39" w:name="_GoBack"/>
      <w:bookmarkEnd w:id="39"/>
    </w:p>
    <w:sectPr w:rsidR="00A240B2" w:rsidRPr="00A45B7F" w:rsidSect="00A240B2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453" w:rsidRDefault="00623453">
      <w:r>
        <w:separator/>
      </w:r>
    </w:p>
    <w:p w:rsidR="00623453" w:rsidRDefault="00623453"/>
    <w:p w:rsidR="00623453" w:rsidRDefault="00623453" w:rsidP="00A240B2"/>
  </w:endnote>
  <w:endnote w:type="continuationSeparator" w:id="0">
    <w:p w:rsidR="00623453" w:rsidRDefault="00623453">
      <w:r>
        <w:continuationSeparator/>
      </w:r>
    </w:p>
    <w:p w:rsidR="00623453" w:rsidRDefault="00623453"/>
    <w:p w:rsidR="00623453" w:rsidRDefault="00623453" w:rsidP="00A240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453" w:rsidRDefault="00623453">
      <w:r>
        <w:separator/>
      </w:r>
    </w:p>
    <w:p w:rsidR="00623453" w:rsidRDefault="00623453"/>
    <w:p w:rsidR="00623453" w:rsidRDefault="00623453" w:rsidP="00A240B2"/>
  </w:footnote>
  <w:footnote w:type="continuationSeparator" w:id="0">
    <w:p w:rsidR="00623453" w:rsidRDefault="00623453">
      <w:r>
        <w:continuationSeparator/>
      </w:r>
    </w:p>
    <w:p w:rsidR="00623453" w:rsidRDefault="00623453"/>
    <w:p w:rsidR="00623453" w:rsidRDefault="00623453" w:rsidP="00A240B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0E8" w:rsidRDefault="009D50E8" w:rsidP="00DD5714">
    <w:pPr>
      <w:pStyle w:val="a5"/>
      <w:framePr w:wrap="around" w:vAnchor="text" w:hAnchor="margin" w:xAlign="right" w:y="1"/>
      <w:rPr>
        <w:rStyle w:val="a7"/>
      </w:rPr>
    </w:pPr>
  </w:p>
  <w:p w:rsidR="009D50E8" w:rsidRDefault="009D50E8" w:rsidP="00D2516D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031A6"/>
    <w:multiLevelType w:val="hybridMultilevel"/>
    <w:tmpl w:val="DB7A77B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633D4D"/>
    <w:multiLevelType w:val="hybridMultilevel"/>
    <w:tmpl w:val="FEC8F16A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7197E68"/>
    <w:multiLevelType w:val="hybridMultilevel"/>
    <w:tmpl w:val="720218A2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8943A04"/>
    <w:multiLevelType w:val="hybridMultilevel"/>
    <w:tmpl w:val="D4D69AB4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D3C6C62"/>
    <w:multiLevelType w:val="hybridMultilevel"/>
    <w:tmpl w:val="970EA33A"/>
    <w:lvl w:ilvl="0" w:tplc="A17A2ED6">
      <w:start w:val="1"/>
      <w:numFmt w:val="russianLower"/>
      <w:lvlText w:val="%1)"/>
      <w:lvlJc w:val="left"/>
      <w:pPr>
        <w:tabs>
          <w:tab w:val="num" w:pos="1636"/>
        </w:tabs>
        <w:ind w:left="1636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00F4124"/>
    <w:multiLevelType w:val="hybridMultilevel"/>
    <w:tmpl w:val="738417FA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3C115E0"/>
    <w:multiLevelType w:val="hybridMultilevel"/>
    <w:tmpl w:val="F06AAFC2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4215A38"/>
    <w:multiLevelType w:val="hybridMultilevel"/>
    <w:tmpl w:val="CA862E72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62D72D4"/>
    <w:multiLevelType w:val="hybridMultilevel"/>
    <w:tmpl w:val="FC1ECDBA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6F67E10"/>
    <w:multiLevelType w:val="hybridMultilevel"/>
    <w:tmpl w:val="FEC8E8B8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896698C"/>
    <w:multiLevelType w:val="hybridMultilevel"/>
    <w:tmpl w:val="D9D435F8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90F0F7A"/>
    <w:multiLevelType w:val="hybridMultilevel"/>
    <w:tmpl w:val="C69CD408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1B066AC1"/>
    <w:multiLevelType w:val="hybridMultilevel"/>
    <w:tmpl w:val="84960720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ED641F5"/>
    <w:multiLevelType w:val="hybridMultilevel"/>
    <w:tmpl w:val="0A70C32A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1F913EA9"/>
    <w:multiLevelType w:val="hybridMultilevel"/>
    <w:tmpl w:val="5040FBD0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2E73913"/>
    <w:multiLevelType w:val="hybridMultilevel"/>
    <w:tmpl w:val="B4887742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8515EBF"/>
    <w:multiLevelType w:val="hybridMultilevel"/>
    <w:tmpl w:val="239686EC"/>
    <w:lvl w:ilvl="0" w:tplc="F48C297C">
      <w:start w:val="1"/>
      <w:numFmt w:val="decimal"/>
      <w:lvlText w:val="%1)"/>
      <w:lvlJc w:val="left"/>
      <w:pPr>
        <w:tabs>
          <w:tab w:val="num" w:pos="737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296D6A05"/>
    <w:multiLevelType w:val="hybridMultilevel"/>
    <w:tmpl w:val="078AA2C8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9D76450"/>
    <w:multiLevelType w:val="hybridMultilevel"/>
    <w:tmpl w:val="43E8AAB6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2C725DF1"/>
    <w:multiLevelType w:val="hybridMultilevel"/>
    <w:tmpl w:val="7848C9EC"/>
    <w:lvl w:ilvl="0" w:tplc="99A60518">
      <w:start w:val="1"/>
      <w:numFmt w:val="decimal"/>
      <w:lvlText w:val="%1."/>
      <w:lvlJc w:val="left"/>
      <w:pPr>
        <w:tabs>
          <w:tab w:val="num" w:pos="1097"/>
        </w:tabs>
        <w:ind w:left="-343" w:firstLine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0">
    <w:nsid w:val="2E342BED"/>
    <w:multiLevelType w:val="hybridMultilevel"/>
    <w:tmpl w:val="A294928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2F3F33BC"/>
    <w:multiLevelType w:val="hybridMultilevel"/>
    <w:tmpl w:val="CFA6B43A"/>
    <w:lvl w:ilvl="0" w:tplc="99A60518">
      <w:start w:val="1"/>
      <w:numFmt w:val="decimal"/>
      <w:lvlText w:val="%1."/>
      <w:lvlJc w:val="left"/>
      <w:pPr>
        <w:tabs>
          <w:tab w:val="num" w:pos="1429"/>
        </w:tabs>
        <w:ind w:left="-11" w:firstLine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  <w:rPr>
        <w:rFonts w:cs="Times New Roman"/>
      </w:rPr>
    </w:lvl>
  </w:abstractNum>
  <w:abstractNum w:abstractNumId="22">
    <w:nsid w:val="31D324B9"/>
    <w:multiLevelType w:val="hybridMultilevel"/>
    <w:tmpl w:val="2036179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76CC0442">
      <w:start w:val="1"/>
      <w:numFmt w:val="bullet"/>
      <w:lvlText w:val=""/>
      <w:lvlJc w:val="left"/>
      <w:pPr>
        <w:tabs>
          <w:tab w:val="num" w:pos="1789"/>
        </w:tabs>
        <w:ind w:left="1222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5676B01"/>
    <w:multiLevelType w:val="hybridMultilevel"/>
    <w:tmpl w:val="C73A7F36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45C560E1"/>
    <w:multiLevelType w:val="hybridMultilevel"/>
    <w:tmpl w:val="E542C1D8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67A7AE1"/>
    <w:multiLevelType w:val="hybridMultilevel"/>
    <w:tmpl w:val="57B2D4DC"/>
    <w:lvl w:ilvl="0" w:tplc="5B04147E">
      <w:start w:val="1"/>
      <w:numFmt w:val="decimal"/>
      <w:lvlText w:val="%1)"/>
      <w:lvlJc w:val="left"/>
      <w:pPr>
        <w:tabs>
          <w:tab w:val="num" w:pos="1097"/>
        </w:tabs>
        <w:ind w:left="36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26">
    <w:nsid w:val="47D20C4B"/>
    <w:multiLevelType w:val="hybridMultilevel"/>
    <w:tmpl w:val="1D0A7E14"/>
    <w:lvl w:ilvl="0" w:tplc="F48C297C">
      <w:start w:val="1"/>
      <w:numFmt w:val="decimal"/>
      <w:lvlText w:val="%1)"/>
      <w:lvlJc w:val="left"/>
      <w:pPr>
        <w:tabs>
          <w:tab w:val="num" w:pos="1304"/>
        </w:tabs>
        <w:ind w:left="567" w:firstLine="709"/>
      </w:pPr>
      <w:rPr>
        <w:rFonts w:cs="Times New Roman" w:hint="default"/>
      </w:rPr>
    </w:lvl>
    <w:lvl w:ilvl="1" w:tplc="76CC0442">
      <w:start w:val="1"/>
      <w:numFmt w:val="bullet"/>
      <w:lvlText w:val=""/>
      <w:lvlJc w:val="left"/>
      <w:pPr>
        <w:tabs>
          <w:tab w:val="num" w:pos="1789"/>
        </w:tabs>
        <w:ind w:left="1222" w:firstLine="56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49CF4049"/>
    <w:multiLevelType w:val="hybridMultilevel"/>
    <w:tmpl w:val="F2B474BE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0A6332F"/>
    <w:multiLevelType w:val="hybridMultilevel"/>
    <w:tmpl w:val="B5063926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14C13FA"/>
    <w:multiLevelType w:val="hybridMultilevel"/>
    <w:tmpl w:val="13FE77C2"/>
    <w:lvl w:ilvl="0" w:tplc="76CC0442">
      <w:start w:val="1"/>
      <w:numFmt w:val="bullet"/>
      <w:lvlText w:val="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F557D7"/>
    <w:multiLevelType w:val="hybridMultilevel"/>
    <w:tmpl w:val="5BB6B556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79A03F5"/>
    <w:multiLevelType w:val="hybridMultilevel"/>
    <w:tmpl w:val="18361FF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B0C1581"/>
    <w:multiLevelType w:val="hybridMultilevel"/>
    <w:tmpl w:val="3B0A5E1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5BDA74CE"/>
    <w:multiLevelType w:val="hybridMultilevel"/>
    <w:tmpl w:val="BB66BEC0"/>
    <w:lvl w:ilvl="0" w:tplc="031CBBC6">
      <w:numFmt w:val="bullet"/>
      <w:lvlText w:val="–"/>
      <w:lvlJc w:val="left"/>
      <w:pPr>
        <w:tabs>
          <w:tab w:val="num" w:pos="2149"/>
        </w:tabs>
        <w:ind w:left="2149" w:hanging="72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BDD7C66"/>
    <w:multiLevelType w:val="hybridMultilevel"/>
    <w:tmpl w:val="4CCA590E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5D5428F1"/>
    <w:multiLevelType w:val="hybridMultilevel"/>
    <w:tmpl w:val="E214C5AC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5ECF7E9F"/>
    <w:multiLevelType w:val="hybridMultilevel"/>
    <w:tmpl w:val="E29E4B8E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5FB60D43"/>
    <w:multiLevelType w:val="hybridMultilevel"/>
    <w:tmpl w:val="E514EB82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3800222"/>
    <w:multiLevelType w:val="hybridMultilevel"/>
    <w:tmpl w:val="38FC8AA0"/>
    <w:lvl w:ilvl="0" w:tplc="6D46B920">
      <w:start w:val="1"/>
      <w:numFmt w:val="decimal"/>
      <w:lvlText w:val="%1)"/>
      <w:lvlJc w:val="left"/>
      <w:pPr>
        <w:tabs>
          <w:tab w:val="num" w:pos="737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9">
    <w:nsid w:val="66DE1476"/>
    <w:multiLevelType w:val="hybridMultilevel"/>
    <w:tmpl w:val="5EBE30A6"/>
    <w:lvl w:ilvl="0" w:tplc="5122DF76">
      <w:start w:val="1"/>
      <w:numFmt w:val="decimal"/>
      <w:lvlText w:val="%1."/>
      <w:lvlJc w:val="left"/>
      <w:pPr>
        <w:tabs>
          <w:tab w:val="num" w:pos="1429"/>
        </w:tabs>
        <w:ind w:left="360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0">
    <w:nsid w:val="691106CC"/>
    <w:multiLevelType w:val="hybridMultilevel"/>
    <w:tmpl w:val="C4CC594C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ADE0E2E"/>
    <w:multiLevelType w:val="hybridMultilevel"/>
    <w:tmpl w:val="4036D006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6BA55BB1"/>
    <w:multiLevelType w:val="hybridMultilevel"/>
    <w:tmpl w:val="09D20D0A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6BBB2DD9"/>
    <w:multiLevelType w:val="multilevel"/>
    <w:tmpl w:val="12360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C0D038D"/>
    <w:multiLevelType w:val="hybridMultilevel"/>
    <w:tmpl w:val="E0B2C7C0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6D202882"/>
    <w:multiLevelType w:val="hybridMultilevel"/>
    <w:tmpl w:val="6760694C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6">
    <w:nsid w:val="6FC355EC"/>
    <w:multiLevelType w:val="hybridMultilevel"/>
    <w:tmpl w:val="33A0F0AC"/>
    <w:lvl w:ilvl="0" w:tplc="5BC06492">
      <w:start w:val="1"/>
      <w:numFmt w:val="bullet"/>
      <w:lvlText w:val=""/>
      <w:lvlJc w:val="left"/>
      <w:pPr>
        <w:tabs>
          <w:tab w:val="num" w:pos="1786"/>
        </w:tabs>
        <w:ind w:left="709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4314217"/>
    <w:multiLevelType w:val="hybridMultilevel"/>
    <w:tmpl w:val="4B1C0472"/>
    <w:lvl w:ilvl="0" w:tplc="5B04147E">
      <w:start w:val="1"/>
      <w:numFmt w:val="decimal"/>
      <w:lvlText w:val="%1)"/>
      <w:lvlJc w:val="left"/>
      <w:pPr>
        <w:tabs>
          <w:tab w:val="num" w:pos="765"/>
        </w:tabs>
        <w:ind w:left="28" w:firstLine="709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8">
    <w:nsid w:val="74496AAF"/>
    <w:multiLevelType w:val="hybridMultilevel"/>
    <w:tmpl w:val="0F70C1C2"/>
    <w:lvl w:ilvl="0" w:tplc="392E1FB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76531ACF"/>
    <w:multiLevelType w:val="hybridMultilevel"/>
    <w:tmpl w:val="7F543512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0">
    <w:nsid w:val="7BA410FB"/>
    <w:multiLevelType w:val="hybridMultilevel"/>
    <w:tmpl w:val="5BB48A26"/>
    <w:lvl w:ilvl="0" w:tplc="76CC0442">
      <w:start w:val="1"/>
      <w:numFmt w:val="bullet"/>
      <w:lvlText w:val=""/>
      <w:lvlJc w:val="left"/>
      <w:pPr>
        <w:tabs>
          <w:tab w:val="num" w:pos="1276"/>
        </w:tabs>
        <w:ind w:left="70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1">
    <w:nsid w:val="7DBA2BD1"/>
    <w:multiLevelType w:val="multilevel"/>
    <w:tmpl w:val="F8268760"/>
    <w:lvl w:ilvl="0">
      <w:start w:val="1"/>
      <w:numFmt w:val="decimal"/>
      <w:lvlText w:val="%1)"/>
      <w:lvlJc w:val="left"/>
      <w:pPr>
        <w:tabs>
          <w:tab w:val="num" w:pos="1191"/>
        </w:tabs>
        <w:ind w:firstLine="794"/>
      </w:pPr>
      <w:rPr>
        <w:rFonts w:cs="Times New Roman" w:hint="default"/>
      </w:rPr>
    </w:lvl>
    <w:lvl w:ilvl="1">
      <w:start w:val="1"/>
      <w:numFmt w:val="russianLower"/>
      <w:lvlText w:val="%2)"/>
      <w:lvlJc w:val="left"/>
      <w:pPr>
        <w:tabs>
          <w:tab w:val="num" w:pos="2098"/>
        </w:tabs>
        <w:ind w:left="720" w:firstLine="981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41"/>
  </w:num>
  <w:num w:numId="2">
    <w:abstractNumId w:val="43"/>
  </w:num>
  <w:num w:numId="3">
    <w:abstractNumId w:val="37"/>
  </w:num>
  <w:num w:numId="4">
    <w:abstractNumId w:val="24"/>
  </w:num>
  <w:num w:numId="5">
    <w:abstractNumId w:val="45"/>
  </w:num>
  <w:num w:numId="6">
    <w:abstractNumId w:val="12"/>
  </w:num>
  <w:num w:numId="7">
    <w:abstractNumId w:val="27"/>
  </w:num>
  <w:num w:numId="8">
    <w:abstractNumId w:val="2"/>
  </w:num>
  <w:num w:numId="9">
    <w:abstractNumId w:val="8"/>
  </w:num>
  <w:num w:numId="10">
    <w:abstractNumId w:val="17"/>
  </w:num>
  <w:num w:numId="11">
    <w:abstractNumId w:val="11"/>
  </w:num>
  <w:num w:numId="12">
    <w:abstractNumId w:val="39"/>
  </w:num>
  <w:num w:numId="13">
    <w:abstractNumId w:val="38"/>
  </w:num>
  <w:num w:numId="14">
    <w:abstractNumId w:val="16"/>
  </w:num>
  <w:num w:numId="15">
    <w:abstractNumId w:val="49"/>
  </w:num>
  <w:num w:numId="16">
    <w:abstractNumId w:val="29"/>
  </w:num>
  <w:num w:numId="17">
    <w:abstractNumId w:val="50"/>
  </w:num>
  <w:num w:numId="18">
    <w:abstractNumId w:val="28"/>
  </w:num>
  <w:num w:numId="19">
    <w:abstractNumId w:val="6"/>
  </w:num>
  <w:num w:numId="20">
    <w:abstractNumId w:val="15"/>
  </w:num>
  <w:num w:numId="21">
    <w:abstractNumId w:val="31"/>
  </w:num>
  <w:num w:numId="22">
    <w:abstractNumId w:val="36"/>
  </w:num>
  <w:num w:numId="23">
    <w:abstractNumId w:val="4"/>
  </w:num>
  <w:num w:numId="24">
    <w:abstractNumId w:val="44"/>
  </w:num>
  <w:num w:numId="25">
    <w:abstractNumId w:val="7"/>
  </w:num>
  <w:num w:numId="26">
    <w:abstractNumId w:val="48"/>
  </w:num>
  <w:num w:numId="27">
    <w:abstractNumId w:val="14"/>
  </w:num>
  <w:num w:numId="28">
    <w:abstractNumId w:val="5"/>
  </w:num>
  <w:num w:numId="29">
    <w:abstractNumId w:val="3"/>
  </w:num>
  <w:num w:numId="30">
    <w:abstractNumId w:val="0"/>
  </w:num>
  <w:num w:numId="31">
    <w:abstractNumId w:val="40"/>
  </w:num>
  <w:num w:numId="32">
    <w:abstractNumId w:val="21"/>
  </w:num>
  <w:num w:numId="33">
    <w:abstractNumId w:val="25"/>
  </w:num>
  <w:num w:numId="34">
    <w:abstractNumId w:val="10"/>
  </w:num>
  <w:num w:numId="35">
    <w:abstractNumId w:val="26"/>
  </w:num>
  <w:num w:numId="36">
    <w:abstractNumId w:val="22"/>
  </w:num>
  <w:num w:numId="37">
    <w:abstractNumId w:val="42"/>
  </w:num>
  <w:num w:numId="38">
    <w:abstractNumId w:val="1"/>
  </w:num>
  <w:num w:numId="39">
    <w:abstractNumId w:val="13"/>
  </w:num>
  <w:num w:numId="40">
    <w:abstractNumId w:val="32"/>
  </w:num>
  <w:num w:numId="41">
    <w:abstractNumId w:val="34"/>
  </w:num>
  <w:num w:numId="42">
    <w:abstractNumId w:val="20"/>
  </w:num>
  <w:num w:numId="43">
    <w:abstractNumId w:val="23"/>
  </w:num>
  <w:num w:numId="44">
    <w:abstractNumId w:val="51"/>
  </w:num>
  <w:num w:numId="45">
    <w:abstractNumId w:val="47"/>
  </w:num>
  <w:num w:numId="46">
    <w:abstractNumId w:val="19"/>
  </w:num>
  <w:num w:numId="47">
    <w:abstractNumId w:val="9"/>
  </w:num>
  <w:num w:numId="48">
    <w:abstractNumId w:val="35"/>
  </w:num>
  <w:num w:numId="49">
    <w:abstractNumId w:val="46"/>
  </w:num>
  <w:num w:numId="50">
    <w:abstractNumId w:val="30"/>
  </w:num>
  <w:num w:numId="51">
    <w:abstractNumId w:val="18"/>
  </w:num>
  <w:num w:numId="52">
    <w:abstractNumId w:val="3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7DC9"/>
    <w:rsid w:val="00053FA6"/>
    <w:rsid w:val="000708AF"/>
    <w:rsid w:val="000F02C3"/>
    <w:rsid w:val="0015368E"/>
    <w:rsid w:val="001742DA"/>
    <w:rsid w:val="00370730"/>
    <w:rsid w:val="003D0B02"/>
    <w:rsid w:val="003E2EDE"/>
    <w:rsid w:val="0050528A"/>
    <w:rsid w:val="0051271D"/>
    <w:rsid w:val="00587DC9"/>
    <w:rsid w:val="00623453"/>
    <w:rsid w:val="006522DD"/>
    <w:rsid w:val="008C083E"/>
    <w:rsid w:val="00987F38"/>
    <w:rsid w:val="009D50E8"/>
    <w:rsid w:val="00A07D02"/>
    <w:rsid w:val="00A240B2"/>
    <w:rsid w:val="00A45B7F"/>
    <w:rsid w:val="00B611C2"/>
    <w:rsid w:val="00B946D0"/>
    <w:rsid w:val="00C14406"/>
    <w:rsid w:val="00D2516D"/>
    <w:rsid w:val="00D66ED8"/>
    <w:rsid w:val="00DD517B"/>
    <w:rsid w:val="00DD5714"/>
    <w:rsid w:val="00DE3D85"/>
    <w:rsid w:val="00F82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4"/>
    <o:shapelayout v:ext="edit">
      <o:idmap v:ext="edit" data="1"/>
    </o:shapelayout>
  </w:shapeDefaults>
  <w:decimalSymbol w:val=","/>
  <w:listSeparator w:val=";"/>
  <w14:defaultImageDpi w14:val="0"/>
  <w15:chartTrackingRefBased/>
  <w15:docId w15:val="{3F347D37-71B4-4580-B225-7AF38101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sid w:val="00987F38"/>
    <w:pPr>
      <w:shd w:val="clear" w:color="auto" w:fill="FFFFFF"/>
      <w:spacing w:line="360" w:lineRule="auto"/>
      <w:ind w:firstLine="709"/>
      <w:jc w:val="both"/>
    </w:pPr>
    <w:rPr>
      <w:color w:val="000000"/>
      <w:sz w:val="28"/>
      <w:szCs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987F38"/>
    <w:pPr>
      <w:keepNext/>
      <w:spacing w:before="400" w:after="400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autoRedefine/>
    <w:uiPriority w:val="9"/>
    <w:qFormat/>
    <w:rsid w:val="00B946D0"/>
    <w:pPr>
      <w:keepNext/>
      <w:spacing w:before="160" w:after="1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autoRedefine/>
    <w:uiPriority w:val="9"/>
    <w:qFormat/>
    <w:rsid w:val="00B946D0"/>
    <w:pPr>
      <w:keepNext/>
      <w:spacing w:before="160" w:after="160"/>
      <w:jc w:val="center"/>
      <w:outlineLvl w:val="2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  <w:shd w:val="clear" w:color="auto" w:fill="FFFFFF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  <w:shd w:val="clear" w:color="auto" w:fill="FFFFFF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  <w:shd w:val="clear" w:color="auto" w:fill="FFFFFF"/>
    </w:r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B946D0"/>
    <w:pPr>
      <w:ind w:firstLine="720"/>
    </w:pPr>
    <w:rPr>
      <w:szCs w:val="20"/>
    </w:rPr>
  </w:style>
  <w:style w:type="character" w:customStyle="1" w:styleId="11">
    <w:name w:val="Стиль 11 пт полужирный курсив подчеркивание"/>
    <w:rsid w:val="00B946D0"/>
    <w:rPr>
      <w:rFonts w:ascii="Times New Roman" w:hAnsi="Times New Roman" w:cs="Times New Roman"/>
      <w:bCs/>
      <w:iCs/>
      <w:sz w:val="24"/>
      <w:u w:val="single"/>
    </w:rPr>
  </w:style>
  <w:style w:type="character" w:customStyle="1" w:styleId="110">
    <w:name w:val="Стиль 11 пт курсив"/>
    <w:rsid w:val="00B946D0"/>
    <w:rPr>
      <w:rFonts w:cs="Times New Roman"/>
      <w:iCs/>
      <w:sz w:val="24"/>
    </w:rPr>
  </w:style>
  <w:style w:type="paragraph" w:customStyle="1" w:styleId="1270">
    <w:name w:val="Стиль полужирный курсив По центру Первая строка:  127 см Между..."/>
    <w:basedOn w:val="a"/>
    <w:autoRedefine/>
    <w:rsid w:val="00B946D0"/>
    <w:pPr>
      <w:jc w:val="center"/>
    </w:pPr>
    <w:rPr>
      <w:bCs/>
      <w:iCs/>
      <w:szCs w:val="20"/>
    </w:rPr>
  </w:style>
  <w:style w:type="character" w:customStyle="1" w:styleId="12">
    <w:name w:val="Стиль 12 пт"/>
    <w:rsid w:val="00987F38"/>
    <w:rPr>
      <w:rFonts w:ascii="Times New Roman" w:hAnsi="Times New Roman" w:cs="Times New Roman"/>
      <w:sz w:val="28"/>
    </w:rPr>
  </w:style>
  <w:style w:type="paragraph" w:customStyle="1" w:styleId="13">
    <w:name w:val="Стиль1"/>
    <w:basedOn w:val="1"/>
    <w:autoRedefine/>
    <w:rsid w:val="00053FA6"/>
    <w:pPr>
      <w:shd w:val="clear" w:color="auto" w:fill="auto"/>
      <w:spacing w:before="240" w:after="240"/>
      <w:ind w:firstLine="0"/>
    </w:pPr>
    <w:rPr>
      <w:rFonts w:cs="Arial"/>
      <w:bCs/>
      <w:color w:val="auto"/>
      <w:kern w:val="32"/>
      <w:szCs w:val="48"/>
      <w:lang w:val="en-US" w:eastAsia="en-US"/>
    </w:rPr>
  </w:style>
  <w:style w:type="paragraph" w:customStyle="1" w:styleId="21">
    <w:name w:val="Стиль2"/>
    <w:basedOn w:val="a"/>
    <w:autoRedefine/>
    <w:rsid w:val="00053FA6"/>
    <w:pPr>
      <w:widowControl w:val="0"/>
      <w:shd w:val="clear" w:color="auto" w:fill="auto"/>
      <w:autoSpaceDE w:val="0"/>
      <w:autoSpaceDN w:val="0"/>
      <w:adjustRightInd w:val="0"/>
      <w:spacing w:before="160" w:after="160"/>
      <w:ind w:firstLine="720"/>
    </w:pPr>
    <w:rPr>
      <w:b/>
      <w:color w:val="auto"/>
      <w:szCs w:val="28"/>
      <w:lang w:val="uk-UA"/>
    </w:rPr>
  </w:style>
  <w:style w:type="paragraph" w:customStyle="1" w:styleId="text">
    <w:name w:val="text"/>
    <w:basedOn w:val="a"/>
    <w:rsid w:val="008C083E"/>
    <w:pPr>
      <w:shd w:val="clear" w:color="auto" w:fill="auto"/>
      <w:spacing w:before="96" w:after="240" w:line="312" w:lineRule="auto"/>
      <w:ind w:firstLine="0"/>
      <w:jc w:val="left"/>
    </w:pPr>
    <w:rPr>
      <w:sz w:val="24"/>
    </w:rPr>
  </w:style>
  <w:style w:type="paragraph" w:styleId="HTML">
    <w:name w:val="HTML Preformatted"/>
    <w:basedOn w:val="a"/>
    <w:link w:val="HTML0"/>
    <w:uiPriority w:val="99"/>
    <w:rsid w:val="008C083E"/>
    <w:pPr>
      <w:shd w:val="clear" w:color="auto" w:fill="auto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locked/>
    <w:rPr>
      <w:rFonts w:ascii="Courier New" w:hAnsi="Courier New" w:cs="Courier New"/>
      <w:color w:val="000000"/>
      <w:shd w:val="clear" w:color="auto" w:fill="FFFFFF"/>
    </w:rPr>
  </w:style>
  <w:style w:type="paragraph" w:customStyle="1" w:styleId="t">
    <w:name w:val="t"/>
    <w:basedOn w:val="a"/>
    <w:rsid w:val="008C083E"/>
    <w:pPr>
      <w:shd w:val="clear" w:color="auto" w:fill="auto"/>
      <w:ind w:firstLine="0"/>
    </w:pPr>
    <w:rPr>
      <w:rFonts w:ascii="Tahoma" w:hAnsi="Tahoma" w:cs="Tahoma"/>
      <w:sz w:val="18"/>
      <w:szCs w:val="18"/>
    </w:rPr>
  </w:style>
  <w:style w:type="character" w:customStyle="1" w:styleId="FontStyle17">
    <w:name w:val="Font Style17"/>
    <w:rsid w:val="008C083E"/>
    <w:rPr>
      <w:rFonts w:ascii="Times New Roman" w:hAnsi="Times New Roman" w:cs="Times New Roman"/>
      <w:sz w:val="30"/>
      <w:szCs w:val="30"/>
    </w:rPr>
  </w:style>
  <w:style w:type="character" w:styleId="a3">
    <w:name w:val="Hyperlink"/>
    <w:uiPriority w:val="99"/>
    <w:rsid w:val="008C083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C083E"/>
    <w:pPr>
      <w:shd w:val="clear" w:color="auto" w:fill="auto"/>
      <w:spacing w:before="100" w:beforeAutospacing="1" w:after="100" w:afterAutospacing="1" w:line="240" w:lineRule="auto"/>
      <w:ind w:firstLine="0"/>
      <w:jc w:val="left"/>
    </w:pPr>
    <w:rPr>
      <w:color w:val="auto"/>
      <w:sz w:val="24"/>
    </w:rPr>
  </w:style>
  <w:style w:type="paragraph" w:customStyle="1" w:styleId="Style5">
    <w:name w:val="Style5"/>
    <w:basedOn w:val="a"/>
    <w:rsid w:val="003D0B02"/>
    <w:pPr>
      <w:widowControl w:val="0"/>
      <w:shd w:val="clear" w:color="auto" w:fill="auto"/>
      <w:autoSpaceDE w:val="0"/>
      <w:autoSpaceDN w:val="0"/>
      <w:adjustRightInd w:val="0"/>
      <w:spacing w:line="689" w:lineRule="exact"/>
      <w:ind w:firstLine="0"/>
      <w:jc w:val="left"/>
    </w:pPr>
    <w:rPr>
      <w:color w:val="auto"/>
      <w:sz w:val="24"/>
    </w:rPr>
  </w:style>
  <w:style w:type="paragraph" w:styleId="14">
    <w:name w:val="toc 1"/>
    <w:basedOn w:val="a"/>
    <w:next w:val="a"/>
    <w:autoRedefine/>
    <w:uiPriority w:val="39"/>
    <w:semiHidden/>
    <w:rsid w:val="0050528A"/>
  </w:style>
  <w:style w:type="paragraph" w:styleId="22">
    <w:name w:val="toc 2"/>
    <w:basedOn w:val="a"/>
    <w:next w:val="a"/>
    <w:autoRedefine/>
    <w:uiPriority w:val="39"/>
    <w:semiHidden/>
    <w:rsid w:val="0050528A"/>
    <w:pPr>
      <w:ind w:left="280"/>
    </w:pPr>
  </w:style>
  <w:style w:type="paragraph" w:styleId="a5">
    <w:name w:val="header"/>
    <w:basedOn w:val="a"/>
    <w:link w:val="a6"/>
    <w:uiPriority w:val="99"/>
    <w:rsid w:val="00D2516D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locked/>
    <w:rPr>
      <w:rFonts w:cs="Times New Roman"/>
      <w:color w:val="000000"/>
      <w:sz w:val="24"/>
      <w:szCs w:val="24"/>
      <w:shd w:val="clear" w:color="auto" w:fill="FFFFFF"/>
    </w:rPr>
  </w:style>
  <w:style w:type="character" w:styleId="a7">
    <w:name w:val="page number"/>
    <w:uiPriority w:val="99"/>
    <w:rsid w:val="00D2516D"/>
    <w:rPr>
      <w:rFonts w:cs="Times New Roman"/>
    </w:rPr>
  </w:style>
  <w:style w:type="paragraph" w:styleId="a8">
    <w:name w:val="footer"/>
    <w:basedOn w:val="a"/>
    <w:link w:val="a9"/>
    <w:uiPriority w:val="99"/>
    <w:rsid w:val="00D2516D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Pr>
      <w:rFonts w:cs="Times New Roman"/>
      <w:color w:val="000000"/>
      <w:sz w:val="24"/>
      <w:szCs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wmf"/><Relationship Id="rId39" Type="http://schemas.openxmlformats.org/officeDocument/2006/relationships/image" Target="media/image32.wmf"/><Relationship Id="rId21" Type="http://schemas.openxmlformats.org/officeDocument/2006/relationships/image" Target="media/image15.e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theme" Target="theme/theme1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9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eader" Target="header1.xml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fontTable" Target="fontTable.xml"/><Relationship Id="rId20" Type="http://schemas.openxmlformats.org/officeDocument/2006/relationships/image" Target="media/image14.emf"/><Relationship Id="rId41" Type="http://schemas.openxmlformats.org/officeDocument/2006/relationships/image" Target="media/image3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23406</Words>
  <Characters>133417</Characters>
  <Application>Microsoft Office Word</Application>
  <DocSecurity>0</DocSecurity>
  <Lines>1111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Науково-практичні основи аналізу банкрутства підприємства та шляхи його подолання</vt:lpstr>
    </vt:vector>
  </TitlesOfParts>
  <Company>Дом</Company>
  <LinksUpToDate>false</LinksUpToDate>
  <CharactersWithSpaces>156510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Науково-практичні основи аналізу банкрутства підприємства та шляхи його подолання</dc:title>
  <dc:subject/>
  <dc:creator>Серж</dc:creator>
  <cp:keywords/>
  <dc:description/>
  <cp:lastModifiedBy>Irina</cp:lastModifiedBy>
  <cp:revision>2</cp:revision>
  <dcterms:created xsi:type="dcterms:W3CDTF">2014-08-08T13:40:00Z</dcterms:created>
  <dcterms:modified xsi:type="dcterms:W3CDTF">2014-08-08T13:40:00Z</dcterms:modified>
</cp:coreProperties>
</file>