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6C7" w:rsidRPr="009219ED" w:rsidRDefault="009A36C7" w:rsidP="009219ED">
      <w:pPr>
        <w:spacing w:line="360" w:lineRule="auto"/>
        <w:jc w:val="center"/>
        <w:rPr>
          <w:noProof/>
          <w:color w:val="000000"/>
          <w:sz w:val="28"/>
        </w:rPr>
      </w:pPr>
      <w:r w:rsidRPr="009219ED">
        <w:rPr>
          <w:noProof/>
          <w:color w:val="000000"/>
          <w:sz w:val="28"/>
        </w:rPr>
        <w:t>МИНИСТЕРСТВО ОБРАЗОВАНИЯ И НАУКИ УКРАИНЫ</w:t>
      </w:r>
    </w:p>
    <w:p w:rsidR="009A36C7" w:rsidRPr="009219ED" w:rsidRDefault="009A36C7" w:rsidP="009219ED">
      <w:pPr>
        <w:pStyle w:val="a6"/>
        <w:spacing w:line="360" w:lineRule="auto"/>
        <w:rPr>
          <w:noProof/>
          <w:color w:val="000000"/>
        </w:rPr>
      </w:pPr>
      <w:r w:rsidRPr="009219ED">
        <w:rPr>
          <w:noProof/>
          <w:color w:val="000000"/>
        </w:rPr>
        <w:t>НАЦИОНАЛЬНАЯ АКАДЕМИЯ ПРИРОДООХРАННОГО И КУРОРТНОГО СТРОИТЕЛЬСТВА</w:t>
      </w:r>
    </w:p>
    <w:p w:rsidR="009A36C7" w:rsidRPr="009219ED" w:rsidRDefault="009A36C7" w:rsidP="009219ED">
      <w:pPr>
        <w:spacing w:line="360" w:lineRule="auto"/>
        <w:jc w:val="center"/>
        <w:rPr>
          <w:noProof/>
          <w:color w:val="000000"/>
          <w:sz w:val="28"/>
        </w:rPr>
      </w:pPr>
      <w:r w:rsidRPr="009219ED">
        <w:rPr>
          <w:noProof/>
          <w:color w:val="000000"/>
          <w:sz w:val="28"/>
        </w:rPr>
        <w:t>Факультет экономики и менеджмента</w:t>
      </w:r>
    </w:p>
    <w:p w:rsidR="009A36C7" w:rsidRPr="009219ED" w:rsidRDefault="009A36C7" w:rsidP="009219ED">
      <w:pPr>
        <w:pStyle w:val="2"/>
        <w:spacing w:line="360" w:lineRule="auto"/>
        <w:jc w:val="center"/>
        <w:rPr>
          <w:noProof/>
          <w:color w:val="000000"/>
        </w:rPr>
      </w:pPr>
    </w:p>
    <w:p w:rsidR="009A36C7" w:rsidRPr="009219ED" w:rsidRDefault="009A36C7" w:rsidP="009219ED">
      <w:pPr>
        <w:pStyle w:val="2"/>
        <w:spacing w:line="360" w:lineRule="auto"/>
        <w:jc w:val="center"/>
        <w:rPr>
          <w:noProof/>
          <w:color w:val="000000"/>
        </w:rPr>
      </w:pPr>
      <w:r w:rsidRPr="009219ED">
        <w:rPr>
          <w:noProof/>
          <w:color w:val="000000"/>
        </w:rPr>
        <w:t>Кафедра экономической теории</w:t>
      </w:r>
    </w:p>
    <w:p w:rsidR="009A36C7" w:rsidRPr="009219ED" w:rsidRDefault="009A36C7" w:rsidP="009219ED">
      <w:pPr>
        <w:spacing w:line="360" w:lineRule="auto"/>
        <w:jc w:val="center"/>
        <w:rPr>
          <w:noProof/>
          <w:color w:val="000000"/>
          <w:sz w:val="28"/>
        </w:rPr>
      </w:pPr>
    </w:p>
    <w:p w:rsidR="009A36C7" w:rsidRPr="009219ED" w:rsidRDefault="009A36C7" w:rsidP="009219ED">
      <w:pPr>
        <w:spacing w:line="360" w:lineRule="auto"/>
        <w:jc w:val="center"/>
        <w:rPr>
          <w:noProof/>
          <w:color w:val="000000"/>
          <w:sz w:val="28"/>
        </w:rPr>
      </w:pPr>
    </w:p>
    <w:p w:rsidR="009A36C7" w:rsidRPr="009219ED" w:rsidRDefault="009A36C7" w:rsidP="009219ED">
      <w:pPr>
        <w:spacing w:line="360" w:lineRule="auto"/>
        <w:jc w:val="center"/>
        <w:rPr>
          <w:noProof/>
          <w:color w:val="000000"/>
          <w:sz w:val="28"/>
        </w:rPr>
      </w:pPr>
    </w:p>
    <w:p w:rsidR="009A36C7" w:rsidRPr="009219ED" w:rsidRDefault="009A36C7" w:rsidP="009219ED">
      <w:pPr>
        <w:spacing w:line="360" w:lineRule="auto"/>
        <w:jc w:val="center"/>
        <w:rPr>
          <w:noProof/>
          <w:color w:val="000000"/>
          <w:sz w:val="28"/>
        </w:rPr>
      </w:pPr>
    </w:p>
    <w:p w:rsidR="009A36C7" w:rsidRPr="009219ED" w:rsidRDefault="009A36C7" w:rsidP="009219ED">
      <w:pPr>
        <w:spacing w:line="360" w:lineRule="auto"/>
        <w:jc w:val="center"/>
        <w:rPr>
          <w:noProof/>
          <w:color w:val="000000"/>
          <w:sz w:val="28"/>
        </w:rPr>
      </w:pPr>
    </w:p>
    <w:p w:rsidR="009219ED" w:rsidRPr="009219ED" w:rsidRDefault="009219ED" w:rsidP="009219ED">
      <w:pPr>
        <w:spacing w:line="360" w:lineRule="auto"/>
        <w:jc w:val="center"/>
        <w:rPr>
          <w:noProof/>
          <w:color w:val="000000"/>
          <w:sz w:val="28"/>
        </w:rPr>
      </w:pPr>
    </w:p>
    <w:p w:rsidR="009A36C7" w:rsidRPr="009219ED" w:rsidRDefault="009A36C7" w:rsidP="009219ED">
      <w:pPr>
        <w:spacing w:line="360" w:lineRule="auto"/>
        <w:jc w:val="center"/>
        <w:rPr>
          <w:noProof/>
          <w:color w:val="000000"/>
          <w:sz w:val="28"/>
        </w:rPr>
      </w:pPr>
    </w:p>
    <w:p w:rsidR="009A36C7" w:rsidRPr="009219ED" w:rsidRDefault="009A36C7" w:rsidP="009219ED">
      <w:pPr>
        <w:spacing w:line="360" w:lineRule="auto"/>
        <w:jc w:val="center"/>
        <w:rPr>
          <w:noProof/>
          <w:color w:val="000000"/>
          <w:sz w:val="28"/>
          <w:szCs w:val="52"/>
        </w:rPr>
      </w:pPr>
      <w:r w:rsidRPr="009219ED">
        <w:rPr>
          <w:noProof/>
          <w:color w:val="000000"/>
          <w:sz w:val="28"/>
          <w:szCs w:val="52"/>
        </w:rPr>
        <w:t>Доклад</w:t>
      </w:r>
    </w:p>
    <w:p w:rsidR="009A36C7" w:rsidRPr="009219ED" w:rsidRDefault="009A36C7" w:rsidP="009219ED">
      <w:pPr>
        <w:spacing w:line="360" w:lineRule="auto"/>
        <w:jc w:val="center"/>
        <w:rPr>
          <w:noProof/>
          <w:color w:val="000000"/>
          <w:sz w:val="28"/>
        </w:rPr>
      </w:pPr>
      <w:r w:rsidRPr="009219ED">
        <w:rPr>
          <w:noProof/>
          <w:color w:val="000000"/>
          <w:sz w:val="28"/>
        </w:rPr>
        <w:t>по дисциплине: “Государственное регулирование экономики”</w:t>
      </w:r>
    </w:p>
    <w:p w:rsidR="009219ED" w:rsidRPr="009219ED" w:rsidRDefault="009A36C7" w:rsidP="009219ED">
      <w:pPr>
        <w:spacing w:line="360" w:lineRule="auto"/>
        <w:jc w:val="center"/>
        <w:rPr>
          <w:noProof/>
          <w:color w:val="000000"/>
          <w:sz w:val="28"/>
        </w:rPr>
      </w:pPr>
      <w:r w:rsidRPr="009219ED">
        <w:rPr>
          <w:noProof/>
          <w:color w:val="000000"/>
          <w:sz w:val="28"/>
        </w:rPr>
        <w:t>на тему:</w:t>
      </w:r>
    </w:p>
    <w:p w:rsidR="009A36C7" w:rsidRPr="009219ED" w:rsidRDefault="009A36C7" w:rsidP="009219ED">
      <w:pPr>
        <w:spacing w:line="360" w:lineRule="auto"/>
        <w:jc w:val="center"/>
        <w:rPr>
          <w:b/>
          <w:noProof/>
          <w:color w:val="000000"/>
          <w:sz w:val="28"/>
        </w:rPr>
      </w:pPr>
      <w:r w:rsidRPr="009219ED">
        <w:rPr>
          <w:b/>
          <w:noProof/>
          <w:color w:val="000000"/>
          <w:sz w:val="28"/>
        </w:rPr>
        <w:t>«</w:t>
      </w:r>
      <w:r w:rsidR="00245CF8">
        <w:rPr>
          <w:b/>
          <w:noProof/>
          <w:color w:val="000000"/>
          <w:sz w:val="28"/>
          <w:szCs w:val="48"/>
        </w:rPr>
        <w:t xml:space="preserve">Инвестирование в </w:t>
      </w:r>
      <w:r w:rsidR="00A4044F">
        <w:rPr>
          <w:b/>
          <w:noProof/>
          <w:color w:val="000000"/>
          <w:sz w:val="28"/>
          <w:szCs w:val="48"/>
        </w:rPr>
        <w:t xml:space="preserve">агропромышленный комплекс </w:t>
      </w:r>
      <w:r w:rsidR="00245CF8">
        <w:rPr>
          <w:b/>
          <w:noProof/>
          <w:color w:val="000000"/>
          <w:sz w:val="28"/>
          <w:szCs w:val="48"/>
        </w:rPr>
        <w:t>Украин</w:t>
      </w:r>
      <w:r w:rsidR="00A4044F">
        <w:rPr>
          <w:b/>
          <w:noProof/>
          <w:color w:val="000000"/>
          <w:sz w:val="28"/>
          <w:szCs w:val="48"/>
        </w:rPr>
        <w:t>ы</w:t>
      </w:r>
      <w:r w:rsidRPr="009219ED">
        <w:rPr>
          <w:b/>
          <w:noProof/>
          <w:color w:val="000000"/>
          <w:sz w:val="28"/>
        </w:rPr>
        <w:t>»</w:t>
      </w:r>
    </w:p>
    <w:p w:rsidR="009A36C7" w:rsidRPr="009219ED" w:rsidRDefault="009A36C7" w:rsidP="009219ED">
      <w:pPr>
        <w:spacing w:line="360" w:lineRule="auto"/>
        <w:jc w:val="center"/>
        <w:rPr>
          <w:noProof/>
          <w:color w:val="000000"/>
          <w:sz w:val="28"/>
        </w:rPr>
      </w:pPr>
    </w:p>
    <w:p w:rsidR="009A36C7" w:rsidRPr="009219ED" w:rsidRDefault="009A36C7" w:rsidP="009219ED">
      <w:pPr>
        <w:spacing w:line="360" w:lineRule="auto"/>
        <w:ind w:firstLine="5160"/>
        <w:rPr>
          <w:noProof/>
          <w:color w:val="000000"/>
          <w:sz w:val="28"/>
        </w:rPr>
      </w:pPr>
      <w:r w:rsidRPr="009219ED">
        <w:rPr>
          <w:noProof/>
          <w:color w:val="000000"/>
          <w:sz w:val="28"/>
        </w:rPr>
        <w:t>Выполнила студентка 3-го курса</w:t>
      </w:r>
    </w:p>
    <w:p w:rsidR="009A36C7" w:rsidRPr="009219ED" w:rsidRDefault="009A36C7" w:rsidP="009219ED">
      <w:pPr>
        <w:spacing w:line="360" w:lineRule="auto"/>
        <w:ind w:firstLine="5160"/>
        <w:rPr>
          <w:noProof/>
          <w:color w:val="000000"/>
          <w:sz w:val="28"/>
        </w:rPr>
      </w:pPr>
      <w:r w:rsidRPr="009219ED">
        <w:rPr>
          <w:noProof/>
          <w:color w:val="000000"/>
          <w:sz w:val="28"/>
        </w:rPr>
        <w:t>ДФО группы ЭП-302</w:t>
      </w:r>
    </w:p>
    <w:p w:rsidR="009A36C7" w:rsidRPr="009219ED" w:rsidRDefault="009A36C7" w:rsidP="009219ED">
      <w:pPr>
        <w:spacing w:line="360" w:lineRule="auto"/>
        <w:ind w:firstLine="5160"/>
        <w:rPr>
          <w:noProof/>
          <w:color w:val="000000"/>
          <w:sz w:val="28"/>
        </w:rPr>
      </w:pPr>
      <w:r w:rsidRPr="009219ED">
        <w:rPr>
          <w:noProof/>
          <w:color w:val="000000"/>
          <w:sz w:val="28"/>
        </w:rPr>
        <w:t>Никишенко А.В.</w:t>
      </w:r>
    </w:p>
    <w:p w:rsidR="009A36C7" w:rsidRPr="009219ED" w:rsidRDefault="009A36C7" w:rsidP="009219ED">
      <w:pPr>
        <w:spacing w:line="360" w:lineRule="auto"/>
        <w:ind w:firstLine="5160"/>
        <w:rPr>
          <w:noProof/>
          <w:color w:val="000000"/>
          <w:sz w:val="28"/>
        </w:rPr>
      </w:pPr>
      <w:r w:rsidRPr="009219ED">
        <w:rPr>
          <w:noProof/>
          <w:color w:val="000000"/>
          <w:sz w:val="28"/>
        </w:rPr>
        <w:t>Проверила:</w:t>
      </w:r>
      <w:r w:rsidR="009219ED" w:rsidRPr="009219ED">
        <w:rPr>
          <w:noProof/>
          <w:color w:val="000000"/>
          <w:sz w:val="28"/>
        </w:rPr>
        <w:t xml:space="preserve"> </w:t>
      </w:r>
      <w:r w:rsidRPr="009219ED">
        <w:rPr>
          <w:noProof/>
          <w:color w:val="000000"/>
          <w:sz w:val="28"/>
        </w:rPr>
        <w:t>Федорова М.В.</w:t>
      </w:r>
    </w:p>
    <w:p w:rsidR="009A36C7" w:rsidRPr="009219ED" w:rsidRDefault="009A36C7" w:rsidP="009219ED">
      <w:pPr>
        <w:spacing w:line="360" w:lineRule="auto"/>
        <w:jc w:val="center"/>
        <w:rPr>
          <w:noProof/>
          <w:color w:val="000000"/>
          <w:sz w:val="28"/>
        </w:rPr>
      </w:pPr>
    </w:p>
    <w:p w:rsidR="0017732A" w:rsidRPr="009219ED" w:rsidRDefault="0017732A" w:rsidP="009219ED">
      <w:pPr>
        <w:spacing w:line="360" w:lineRule="auto"/>
        <w:jc w:val="center"/>
        <w:rPr>
          <w:noProof/>
          <w:color w:val="000000"/>
          <w:sz w:val="28"/>
        </w:rPr>
      </w:pPr>
    </w:p>
    <w:p w:rsidR="0017732A" w:rsidRPr="009219ED" w:rsidRDefault="0017732A" w:rsidP="009219ED">
      <w:pPr>
        <w:spacing w:line="360" w:lineRule="auto"/>
        <w:jc w:val="center"/>
        <w:rPr>
          <w:noProof/>
          <w:color w:val="000000"/>
          <w:sz w:val="28"/>
        </w:rPr>
      </w:pPr>
    </w:p>
    <w:p w:rsidR="0017732A" w:rsidRPr="009219ED" w:rsidRDefault="0017732A" w:rsidP="009219ED">
      <w:pPr>
        <w:spacing w:line="360" w:lineRule="auto"/>
        <w:jc w:val="center"/>
        <w:rPr>
          <w:noProof/>
          <w:color w:val="000000"/>
          <w:sz w:val="28"/>
        </w:rPr>
      </w:pPr>
    </w:p>
    <w:p w:rsidR="009219ED" w:rsidRPr="009219ED" w:rsidRDefault="009219ED" w:rsidP="009219ED">
      <w:pPr>
        <w:spacing w:line="360" w:lineRule="auto"/>
        <w:jc w:val="center"/>
        <w:rPr>
          <w:noProof/>
          <w:color w:val="000000"/>
          <w:sz w:val="28"/>
        </w:rPr>
      </w:pPr>
    </w:p>
    <w:p w:rsidR="009A36C7" w:rsidRPr="009219ED" w:rsidRDefault="009A36C7" w:rsidP="009219ED">
      <w:pPr>
        <w:spacing w:line="360" w:lineRule="auto"/>
        <w:jc w:val="center"/>
        <w:rPr>
          <w:noProof/>
          <w:color w:val="000000"/>
          <w:sz w:val="28"/>
        </w:rPr>
      </w:pPr>
    </w:p>
    <w:p w:rsidR="009A36C7" w:rsidRPr="009219ED" w:rsidRDefault="009A36C7" w:rsidP="009219ED">
      <w:pPr>
        <w:spacing w:line="360" w:lineRule="auto"/>
        <w:jc w:val="center"/>
        <w:rPr>
          <w:noProof/>
          <w:color w:val="000000"/>
          <w:sz w:val="28"/>
          <w:szCs w:val="28"/>
        </w:rPr>
      </w:pPr>
      <w:r w:rsidRPr="009219ED">
        <w:rPr>
          <w:noProof/>
          <w:color w:val="000000"/>
          <w:sz w:val="28"/>
          <w:szCs w:val="28"/>
        </w:rPr>
        <w:t>Симферополь,</w:t>
      </w:r>
      <w:r w:rsidR="0017732A" w:rsidRPr="009219ED">
        <w:rPr>
          <w:noProof/>
          <w:color w:val="000000"/>
          <w:sz w:val="28"/>
          <w:szCs w:val="28"/>
        </w:rPr>
        <w:t xml:space="preserve"> </w:t>
      </w:r>
      <w:r w:rsidRPr="009219ED">
        <w:rPr>
          <w:noProof/>
          <w:color w:val="000000"/>
          <w:sz w:val="28"/>
          <w:szCs w:val="28"/>
        </w:rPr>
        <w:t>2009</w:t>
      </w:r>
    </w:p>
    <w:p w:rsidR="00A40DE4" w:rsidRPr="009219ED" w:rsidRDefault="009219ED" w:rsidP="00857698">
      <w:pPr>
        <w:spacing w:line="360" w:lineRule="auto"/>
        <w:ind w:firstLine="709"/>
        <w:jc w:val="both"/>
        <w:rPr>
          <w:b/>
          <w:noProof/>
          <w:color w:val="000000"/>
          <w:sz w:val="28"/>
          <w:szCs w:val="28"/>
        </w:rPr>
      </w:pPr>
      <w:r w:rsidRPr="009219ED">
        <w:rPr>
          <w:b/>
          <w:noProof/>
          <w:color w:val="000000"/>
          <w:sz w:val="28"/>
          <w:szCs w:val="28"/>
        </w:rPr>
        <w:br w:type="page"/>
      </w:r>
      <w:r w:rsidR="00A40DE4" w:rsidRPr="009219ED">
        <w:rPr>
          <w:b/>
          <w:noProof/>
          <w:color w:val="000000"/>
          <w:sz w:val="28"/>
          <w:szCs w:val="28"/>
        </w:rPr>
        <w:t>Инвестирование в Украину, статистика 2008 года</w:t>
      </w:r>
    </w:p>
    <w:p w:rsidR="009219ED" w:rsidRPr="009219ED" w:rsidRDefault="009219ED" w:rsidP="00857698">
      <w:pPr>
        <w:spacing w:line="360" w:lineRule="auto"/>
        <w:ind w:firstLine="709"/>
        <w:jc w:val="both"/>
        <w:rPr>
          <w:noProof/>
          <w:color w:val="000000"/>
          <w:sz w:val="28"/>
          <w:szCs w:val="28"/>
        </w:rPr>
      </w:pP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Исследование проблем инвестирования экономики всегда находилось в центре внимания экономической науки. Это обусловлено тем, что инвестиции затрагивают самые глубинные основы хозяйственной деятельности, определяя процесс экономического роста в целом. В современных условиях они выступают важнейшим средством обеспечения условий выхода из сложившегося экономического кризиса, структурных сдвигов в народном хозяйстве, обеспечения технического прогресса, повышения качественных показателей хозяйственной деятельности на микро- и макроуровнях. Активизация инвестиционного процесса является одним из наиболее действенных механизмов социально-экономических преобразований.</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Становление «прозрачной и открытой» государственной политики в Украине создает климат для прихода иностранных инвестиций в украинскую экономику.</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В конце 1990-х годов международные займы от МВФ, ЕБРР носили характер «кредитов доверия», открывающих возможности выстраивать отношения с мировым сообществом по схеме «донор-рецептор». Сейчас международные займы сопоставимы с глобальным процессом экономической взаимопомощи. Кредиты выдаются международными финансовыми структурами государствам с адекватной «переходной рыночной экономикой».</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По данным Госкомстата, в 2008 году в экономику Украины иностранными инвесторами вложено 10 млрд 911,1 млн долл. (без учета переоценки, потерь и курсовой разницы (минус 3,9 млрд долл.)) прямых инвестиций, что на 25,3% больше показателя 2007 года, пишет УНИАН. За 2008 год нерезидентами изъят капитал в размере 847,8 млн долл. Об этом сообщили в Государственном комитете статистики.</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В Комитете сообщили, что из стран ЕС поступило 8 млрд 766,4 млн долл. (80,3% общего объема), из стран СНГ - 932,9 млн долл. (8,6%), из других стран мира - 1 млрд 211,8 млн долл. (11,1%).</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В 2008 году выросли объемы капитала из Кипра - на 1 млрд 736,5 млн долл., Италии - на 763,9 млн долл., Нидерландов - на 672 млн долл., Германии - на 475,5 млн долл., России - на 389,2 млн долл. и Австрии - на 378,2 млн долл.</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Прирост иностранного капитала в 2008 году наблюдался на предприятиях, которые осуществляют финансовую деятельность, - на 2 млрд 285,7 млн долл., операции с недвижимостью, аренду, инжиниринг и предоставление услуг предпринимателям - на 901,4 млн долл., торговлю, ремонт автомобилей, бытовых изделий, предметов личного потребления - на 646,3 млн долл., строительство - на 421,1 млн долл. и т. д.</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По информации Госкомстата, общий объем прямых иностранных инвестиций, внесенных в Украину, на 1 января 2009 г. составил 35 млрд 723,4 млн долл., что на 20,9% больше объемов инвестиций на начало 2008 года. В расчете на одного человека объем прямых иностранных инвестиций составляет 775,3 долл.</w:t>
      </w:r>
    </w:p>
    <w:p w:rsidR="00A40DE4" w:rsidRPr="009219ED" w:rsidRDefault="00A40DE4" w:rsidP="00857698">
      <w:pPr>
        <w:spacing w:line="360" w:lineRule="auto"/>
        <w:ind w:firstLine="709"/>
        <w:jc w:val="both"/>
        <w:rPr>
          <w:b/>
          <w:noProof/>
          <w:color w:val="000000"/>
          <w:sz w:val="28"/>
          <w:szCs w:val="28"/>
        </w:rPr>
      </w:pPr>
      <w:r w:rsidRPr="009219ED">
        <w:rPr>
          <w:b/>
          <w:noProof/>
          <w:color w:val="000000"/>
          <w:sz w:val="28"/>
          <w:szCs w:val="28"/>
        </w:rPr>
        <w:t>В Украину вкладывают:</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Среди первой «пятерки» стран - Германия, Кипр, Австрия, Великобритания, США. Примечательно, что Россия, имеющая свои ФПГ, сращенные с украинским бизнесом, а также некоторые отечественные ФПГ, которые в партнерстве с россиянами противостоят своим украинским бизнес-оппонентам, находится лишь на 7-ом месте по объемам ПИИ. Появляется дополнительный мотив для экономической экспансии российских бизнес-групп, как обосновавшихся на украинском рынке, так и тех, что находятся под угрозой политической опалы в РФ.</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 xml:space="preserve">По мнению многих аналитиков, приток иностранных инвестиций в Украину связан не столько с интересом иностранцев к Украине, сколько с активностью отечественных компаний в привлечении зарубежных капиталов. </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Как и раньше, главными препятствиями для вложения денег в Украину иностранцы называют высокий уровень коррупции, косвенное субсидирование, а также слабую законодательную защищенность прав собственности.</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В Украине в январе 2005 г. был создан орган по внедрению инвестиций в украинскую экономику – координационный комитет по иностранным инвестициям. Фактически орган стал «дочерним» при Президенте Украины, целью которого стал контроль прихода иностранных инвестиций от «параллельных структур, занимающихся привлечением иностранных инвестиций». Создание комитета привело к увеличению инвестиционной привлекательности Украины, позволив увеличивать ПИИ в течение 2005-2008 гг. и, самое главное, осуществлять процесс поступления инвестиций в экономику.</w:t>
      </w:r>
    </w:p>
    <w:p w:rsidR="00857698" w:rsidRPr="009219ED" w:rsidRDefault="00A40DE4" w:rsidP="00857698">
      <w:pPr>
        <w:spacing w:line="360" w:lineRule="auto"/>
        <w:ind w:firstLine="709"/>
        <w:jc w:val="both"/>
        <w:rPr>
          <w:noProof/>
          <w:color w:val="000000"/>
          <w:sz w:val="28"/>
          <w:szCs w:val="28"/>
        </w:rPr>
      </w:pPr>
      <w:r w:rsidRPr="009219ED">
        <w:rPr>
          <w:noProof/>
          <w:color w:val="000000"/>
          <w:sz w:val="28"/>
          <w:szCs w:val="28"/>
        </w:rPr>
        <w:t>12-13 апреля в Дубаи (ОАЭ) состоится закрытый форум "Инвестиции в Украину", на котором будут представлены наиболее привлекательные региональные инвестиционные проекты из Украины. Со стороны инвесторов участвовать в Форуме будут представители государственных, частных, акционерных инвестиционных компаний и фондов, промышленных предприятий, а также представители богатых семей ОАЭ, Кувейта, Катара, Омана, Бахрейна и Саудовской Аравии.</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Подход арабского мира к инвестиционным решениям выразил Правитель Дубая шейх Мухаммед Бин Рашид Аль Мактум: "Мы инвестируем не в проекты, мы инвестируем в людей!". С началом глобального экономического кризиса, многие арабские инвесторы стран Персидского Залива приостановили или прекратили полностью инвестирование в традиционные отрасли своих стран. В то же время среди стран Западной Европы, у арабских инвесторов остались приоритетными Англия и Италия, а в Восточной Европе — Россия и Украина. В сферу приоритетных инвестиционных интересов стран Залива входит сельское хозяйство, производство строительных материалов, металлургия, энергосберегающие и инновационные технологии, недвижимость и розничные сети.</w:t>
      </w:r>
    </w:p>
    <w:p w:rsidR="00857698" w:rsidRPr="009219ED" w:rsidRDefault="00857698" w:rsidP="00857698">
      <w:pPr>
        <w:spacing w:line="360" w:lineRule="auto"/>
        <w:ind w:firstLine="709"/>
        <w:jc w:val="both"/>
        <w:rPr>
          <w:noProof/>
          <w:color w:val="000000"/>
          <w:sz w:val="28"/>
          <w:szCs w:val="28"/>
        </w:rPr>
      </w:pPr>
    </w:p>
    <w:p w:rsidR="00A40DE4" w:rsidRPr="009219ED" w:rsidRDefault="00A40DE4" w:rsidP="00857698">
      <w:pPr>
        <w:spacing w:line="360" w:lineRule="auto"/>
        <w:ind w:firstLine="709"/>
        <w:jc w:val="both"/>
        <w:rPr>
          <w:b/>
          <w:noProof/>
          <w:color w:val="000000"/>
          <w:sz w:val="28"/>
          <w:szCs w:val="28"/>
        </w:rPr>
      </w:pPr>
      <w:r w:rsidRPr="009219ED">
        <w:rPr>
          <w:b/>
          <w:noProof/>
          <w:color w:val="000000"/>
          <w:sz w:val="28"/>
          <w:szCs w:val="28"/>
        </w:rPr>
        <w:t>Мировой финансовый кризис и его угрозы для инвестиций в АПК Украины</w:t>
      </w:r>
    </w:p>
    <w:p w:rsidR="00A40DE4" w:rsidRPr="009219ED" w:rsidRDefault="00A40DE4" w:rsidP="00857698">
      <w:pPr>
        <w:spacing w:line="360" w:lineRule="auto"/>
        <w:ind w:firstLine="709"/>
        <w:jc w:val="both"/>
        <w:rPr>
          <w:noProof/>
          <w:color w:val="000000"/>
          <w:sz w:val="28"/>
          <w:szCs w:val="28"/>
        </w:rPr>
      </w:pP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 xml:space="preserve">В настоящее время мировая экономическая и финансовая системы вплотную столкнулись с угрозой крупнейшего за последние 50 лет кризиса, который по возможным последствиям многие уже сравнивают с "великой депрессией" в США в 30-х годах прошлого века. </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Возможные последствия мирового финансового кризиса для перспектив инвестиционного климата в агропромышленном комплексе Украины (краткая оценка текущего состояния процесса инвестирования украинского АПК)</w:t>
      </w:r>
      <w:r w:rsidR="00857698" w:rsidRPr="009219ED">
        <w:rPr>
          <w:noProof/>
          <w:color w:val="000000"/>
          <w:sz w:val="28"/>
          <w:szCs w:val="28"/>
        </w:rPr>
        <w:t>.</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 xml:space="preserve">С точки зрения фундаментального анализа инвестиционной привлекательности АПК Украины по-прежнему остается очень интересным для внешних инвесторов - на высокое качество земельных ресурсов Украины глобальный финансовый кризис не мог повлиять по определению. </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 xml:space="preserve">Однако переоценка рисков, связанных с инвестированием в Украине, все же произошла и, к сожалению, в худшую сторону. </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 xml:space="preserve">Сдерживающими факторами для инвесторов являются отсутствие определенности относительно глобальной экономической ситуации, а также конкретные макроэкономические и политические риски, связанные непосредственно с Украиной. </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 xml:space="preserve">По последним оценкам экспертов, страны Евросоюза находятся на грани экономической рецессии. В США по-прежнему отсутствует четкая стратегия по вопросу преодоления кризиса. В условиях такой неопределенности многие инвестиционные фонды были вынуждены перевести большую часть своих активов в наиболее защищенный тип вложений - правительственные облигации США, Великобритании, стран ЕС. Часть этого оттока произошла и за счет АПК Украины, о чем свидетельствует значительное падение котировок таких компаний, как Ландком, Кернел, Астарта, Укррос, Мрия и т.д. </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 xml:space="preserve">Значительное падение котировок украинских компаний было отмечено и в других отраслях экономики Украины. Падение индекса ПФТС (отечественного фондового рынка) за последний год было беспрецедентным за всю историю независимой Украины. То есть пострадали все. </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 xml:space="preserve">Риски, связанные непосредственно с Украиной, по-прежнему остаются основным заградительным барьером для внешних инвестиций. Это и политические риски (которые обострились в последнее время в связи с парламентским кризисом), и высокий уровень государственного вмешательства в экономику, коррупция, а также общие макроэкономические риски: растущий дефицит текущего баланса страны, вполне реальная перспектива девальвации гривны, беспрецедентно высокая инфляция и т.д. В своем последнем квартальном отчете о главных рисках глобальной экономики Госказначейство США поставило макроэкономическую ситуацию в Украине на 8 место в десятке наиболее проблемных вопросов на сегодня. </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 xml:space="preserve">Основным результатом влияния мирового кризиса на АПК Украины стало резкое уменьшение способности предприятий АПК привлекать финансирование в необходимых размерах. Речь идет как о собственном капитале (путем проведения IPO либо частных размещений акций), так и долговом финансировании. Если сегодня даже компании, отвечающие всем критериям инвестиционной привлекательности (рентабельность, масштаб, хорошая команда менеджмента и т.д.), не могут полностью обеспечить финансирование своего развития, что уже и говорить о небольших фермерских хозяйствах? </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 xml:space="preserve">О проведении IPO либо частных размещений речь вообще сейчас идти не может, а украинские банки резко сократили кредитование из-за неспособности привлекать новые ресурсы из-за границы и сдерживающую позицию НБУ. Прогнозируется, что в этом году и в следующем году АПК будет серьезно "лихорадить" из-за недостатка финансирования. </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 xml:space="preserve">Почувствуют кризис абсолютно все. Относительное преимущество будут иметь те компании, которые имеют большую часть основных средств на балансе - их можно использовать в качестве залога для привлечения долгового финансирования, то есть банки будут более охотно кредитовать их развитие. Например, производители подсолнечного масла смогут более легко привлекать банковские ресурсы для обеспечения закупок семян подсолнечника (под залог купленных семян, а также основных средств своих производственных площадок). </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 xml:space="preserve">Компаниям, которые не имеют значительных основных средств (в том числе непосредственно производители сельхозпродукции, так как земельные участки находятся в аренде, то есть не являются собственностью), будет сложно. </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 xml:space="preserve">Риски можно уменьшить путем налаживания тесного партнерства с банками для получения финансирования, когда оно понадобится. Конечно же, следует помнить о том, что кризис рано или поздно закончится, и целесообразно продолжать работу над усилением инвестиционной привлекательности своей компании - путем сокращения затрат, проведения юридической структуризации, аудитов и т.д. </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 xml:space="preserve">В наиболее выгодной позиции остаются предприятия, построенные по принципу вертикальной интеграции, а также крупные предприятия-экспортеры. Говоря о вертикальной интеграции, следует, конечно же, помнить об определенных ограничениях. Например, производителям подсолнечного масла совершенно нецелесообразно создавать свой банк земли для производства семян подсолнечника, так как для обеспечения собственных мощностей по переработке им придется обработать огромные площади (из-за относительно невысокой урожайности масличных культур). </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 xml:space="preserve">Подобным компаниям выгодно контролировать свои собственные мощности по хранению зерновых и масличных, что позволит максимизировать цену продажи. Выгодно иметь свои мукомольные, крупяные предприятия, комбикормовые заводы. Это позволит контролировать большую часть создаваемой добавленной стоимости. </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 xml:space="preserve">Преимущество же предприятий-экспортеров заключается в возможности максимально понижать цену закупки в период урожая. Конечно же, если правительство не предпримет каких-либо шагов для ограничения их деятельности, так как возможные меры в данном направлении усиленно муссируются. </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 xml:space="preserve">Инвесторы будут продолжать интересоваться АПК Украины, находясь, тем не менее, в ожидании начала подъема мировых финансовых рынков. В ближайшее время (6-12 месяцев) возможны сделки по продаже предприятий АПК (пакетами по 50-80%) крупным стратегическим инвесторам. </w:t>
      </w:r>
    </w:p>
    <w:p w:rsidR="00A40DE4" w:rsidRPr="009219ED" w:rsidRDefault="00A40DE4" w:rsidP="00857698">
      <w:pPr>
        <w:spacing w:line="360" w:lineRule="auto"/>
        <w:ind w:firstLine="709"/>
        <w:jc w:val="both"/>
        <w:rPr>
          <w:noProof/>
          <w:color w:val="000000"/>
          <w:sz w:val="28"/>
          <w:szCs w:val="28"/>
        </w:rPr>
      </w:pPr>
      <w:r w:rsidRPr="009219ED">
        <w:rPr>
          <w:noProof/>
          <w:color w:val="000000"/>
          <w:sz w:val="28"/>
          <w:szCs w:val="28"/>
        </w:rPr>
        <w:t xml:space="preserve">Потенциально возможен приход в АПК Украины крупных инвестиций из стран Ближнего Востока - в последнее время представители крупных инвестиционных фондов и компаний данного региона проявляли активный интерес именно к украинским сельскохозяйственным предприятиям. </w:t>
      </w:r>
      <w:bookmarkStart w:id="0" w:name="_GoBack"/>
      <w:bookmarkEnd w:id="0"/>
    </w:p>
    <w:sectPr w:rsidR="00A40DE4" w:rsidRPr="009219ED" w:rsidSect="00857698">
      <w:headerReference w:type="even" r:id="rId6"/>
      <w:head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B8A" w:rsidRDefault="000D3B8A">
      <w:r>
        <w:separator/>
      </w:r>
    </w:p>
  </w:endnote>
  <w:endnote w:type="continuationSeparator" w:id="0">
    <w:p w:rsidR="000D3B8A" w:rsidRDefault="000D3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B8A" w:rsidRDefault="000D3B8A">
      <w:r>
        <w:separator/>
      </w:r>
    </w:p>
  </w:footnote>
  <w:footnote w:type="continuationSeparator" w:id="0">
    <w:p w:rsidR="000D3B8A" w:rsidRDefault="000D3B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6C7" w:rsidRDefault="009A36C7" w:rsidP="00760B8F">
    <w:pPr>
      <w:pStyle w:val="a3"/>
      <w:framePr w:wrap="around" w:vAnchor="text" w:hAnchor="margin" w:xAlign="right" w:y="1"/>
      <w:rPr>
        <w:rStyle w:val="a5"/>
      </w:rPr>
    </w:pPr>
  </w:p>
  <w:p w:rsidR="009A36C7" w:rsidRDefault="009A36C7" w:rsidP="00A40DE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6C7" w:rsidRDefault="00C34078" w:rsidP="00760B8F">
    <w:pPr>
      <w:pStyle w:val="a3"/>
      <w:framePr w:wrap="around" w:vAnchor="text" w:hAnchor="margin" w:xAlign="right" w:y="1"/>
      <w:rPr>
        <w:rStyle w:val="a5"/>
      </w:rPr>
    </w:pPr>
    <w:r>
      <w:rPr>
        <w:rStyle w:val="a5"/>
        <w:noProof/>
      </w:rPr>
      <w:t>2</w:t>
    </w:r>
  </w:p>
  <w:p w:rsidR="009A36C7" w:rsidRDefault="009A36C7" w:rsidP="00A40DE4">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0DE4"/>
    <w:rsid w:val="000D3B8A"/>
    <w:rsid w:val="0017732A"/>
    <w:rsid w:val="00245CF8"/>
    <w:rsid w:val="006540D5"/>
    <w:rsid w:val="00760B8F"/>
    <w:rsid w:val="00857698"/>
    <w:rsid w:val="009219ED"/>
    <w:rsid w:val="009A36C7"/>
    <w:rsid w:val="00A4044F"/>
    <w:rsid w:val="00A40DE4"/>
    <w:rsid w:val="00AB547E"/>
    <w:rsid w:val="00C34078"/>
    <w:rsid w:val="00CF6E99"/>
    <w:rsid w:val="00DD037D"/>
    <w:rsid w:val="00FB67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44D173-6E16-4C1D-9A60-9340F9070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0DE4"/>
    <w:rPr>
      <w:sz w:val="24"/>
      <w:szCs w:val="24"/>
    </w:rPr>
  </w:style>
  <w:style w:type="paragraph" w:styleId="2">
    <w:name w:val="heading 2"/>
    <w:basedOn w:val="a"/>
    <w:next w:val="a"/>
    <w:link w:val="20"/>
    <w:uiPriority w:val="99"/>
    <w:qFormat/>
    <w:rsid w:val="009A36C7"/>
    <w:pPr>
      <w:keepNext/>
      <w:jc w:val="righ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A40DE4"/>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A40DE4"/>
    <w:rPr>
      <w:rFonts w:cs="Times New Roman"/>
    </w:rPr>
  </w:style>
  <w:style w:type="paragraph" w:styleId="a6">
    <w:name w:val="Body Text"/>
    <w:basedOn w:val="a"/>
    <w:link w:val="a7"/>
    <w:uiPriority w:val="99"/>
    <w:rsid w:val="009A36C7"/>
    <w:pPr>
      <w:jc w:val="center"/>
    </w:pPr>
    <w:rPr>
      <w:sz w:val="28"/>
    </w:rPr>
  </w:style>
  <w:style w:type="character" w:customStyle="1" w:styleId="a7">
    <w:name w:val="Основний текст Знак"/>
    <w:link w:val="a6"/>
    <w:uiPriority w:val="99"/>
    <w:semiHidden/>
    <w:rPr>
      <w:sz w:val="24"/>
      <w:szCs w:val="24"/>
    </w:rPr>
  </w:style>
  <w:style w:type="paragraph" w:styleId="a8">
    <w:name w:val="footer"/>
    <w:basedOn w:val="a"/>
    <w:link w:val="a9"/>
    <w:uiPriority w:val="99"/>
    <w:rsid w:val="00857698"/>
    <w:pPr>
      <w:tabs>
        <w:tab w:val="center" w:pos="4677"/>
        <w:tab w:val="right" w:pos="9355"/>
      </w:tabs>
    </w:pPr>
  </w:style>
  <w:style w:type="character" w:customStyle="1" w:styleId="a9">
    <w:name w:val="Нижні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1789</Words>
  <Characters>10203</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ЧП 555</Company>
  <LinksUpToDate>false</LinksUpToDate>
  <CharactersWithSpaces>11969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Рикишенко</dc:creator>
  <cp:keywords/>
  <dc:description/>
  <cp:lastModifiedBy>Irina</cp:lastModifiedBy>
  <cp:revision>2</cp:revision>
  <dcterms:created xsi:type="dcterms:W3CDTF">2014-08-08T11:53:00Z</dcterms:created>
  <dcterms:modified xsi:type="dcterms:W3CDTF">2014-08-08T11:53:00Z</dcterms:modified>
</cp:coreProperties>
</file>