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A70" w:rsidRPr="00D7095E" w:rsidRDefault="00373A70" w:rsidP="00D7095E">
      <w:pPr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D7095E">
        <w:rPr>
          <w:b/>
          <w:color w:val="000000"/>
          <w:sz w:val="28"/>
          <w:szCs w:val="28"/>
          <w:lang w:val="uk-UA"/>
        </w:rPr>
        <w:t>Держава як учасник корпоративних відносин</w:t>
      </w:r>
    </w:p>
    <w:p w:rsidR="00373A70" w:rsidRPr="00D7095E" w:rsidRDefault="00373A70" w:rsidP="00D7095E">
      <w:pPr>
        <w:pStyle w:val="a7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373A70" w:rsidRPr="00D7095E" w:rsidRDefault="00373A70" w:rsidP="00D7095E">
      <w:pPr>
        <w:pStyle w:val="a7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Державне регулювання корпоративного сектору і контроль за діяльністю учасників корпоративного сектору здійснюють Державна комісія з цінних паперів і фондового ринку (ДКЦПФР), Антимонопольний комітет, Фонд державного майна але ін. в межах своїх повноважень.</w:t>
      </w:r>
    </w:p>
    <w:p w:rsidR="00373A70" w:rsidRPr="00D7095E" w:rsidRDefault="00373A70" w:rsidP="00D7095E">
      <w:pPr>
        <w:pStyle w:val="a7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 xml:space="preserve">У Україні існує координаційний орган діяльності державних органів по питаннях функціонування ринку цінних паперів – </w:t>
      </w:r>
      <w:r w:rsidRPr="00D7095E">
        <w:rPr>
          <w:b/>
          <w:bCs/>
          <w:i/>
          <w:iCs/>
          <w:color w:val="000000"/>
          <w:sz w:val="28"/>
          <w:szCs w:val="28"/>
          <w:lang w:eastAsia="uk-UA"/>
        </w:rPr>
        <w:t>Координаційна рада</w:t>
      </w:r>
      <w:r w:rsidRPr="00D7095E">
        <w:rPr>
          <w:color w:val="000000"/>
          <w:sz w:val="28"/>
          <w:szCs w:val="28"/>
          <w:lang w:eastAsia="uk-UA"/>
        </w:rPr>
        <w:t>, в яку входять керівники державних органів, що в межах своєї компетенції здійснюють контроль або інші функції управління щодо фондового ринку і інвестиційної діяльності в Україні. Очолює Координаційну раду Розділ Державної комісії з цінних паперів і фондового ринку.</w:t>
      </w:r>
    </w:p>
    <w:p w:rsidR="00373A70" w:rsidRPr="00D7095E" w:rsidRDefault="00373A70" w:rsidP="00D7095E">
      <w:pPr>
        <w:pStyle w:val="a7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 xml:space="preserve">Основним органом спеціальної компетенції є </w:t>
      </w:r>
      <w:r w:rsidRPr="00D7095E">
        <w:rPr>
          <w:b/>
          <w:bCs/>
          <w:i/>
          <w:iCs/>
          <w:color w:val="000000"/>
          <w:sz w:val="28"/>
          <w:szCs w:val="28"/>
          <w:lang w:eastAsia="uk-UA"/>
        </w:rPr>
        <w:t xml:space="preserve">Державна комісія з цінних паперів і фондового ринку </w:t>
      </w:r>
      <w:r w:rsidRPr="00D7095E">
        <w:rPr>
          <w:color w:val="000000"/>
          <w:sz w:val="28"/>
          <w:szCs w:val="28"/>
          <w:lang w:eastAsia="uk-UA"/>
        </w:rPr>
        <w:t>– державних орган, який має центральний апарат і територіальні органи. Загальними напрямами його діяльності є:</w:t>
      </w:r>
    </w:p>
    <w:p w:rsidR="00373A70" w:rsidRPr="00D7095E" w:rsidRDefault="00373A70" w:rsidP="00D7095E">
      <w:pPr>
        <w:pStyle w:val="a7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формування і забезпечення реалізації єдиної державної політики щодо розвитку і функціонування ринку цінних паперів і їх похідних в Україні;</w:t>
      </w:r>
    </w:p>
    <w:p w:rsidR="00373A70" w:rsidRPr="00D7095E" w:rsidRDefault="00373A70" w:rsidP="00D7095E">
      <w:pPr>
        <w:pStyle w:val="a7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сприяння адаптації національного ринку цінних паперів до міжнародних стандартів;</w:t>
      </w:r>
    </w:p>
    <w:p w:rsidR="00373A70" w:rsidRPr="00D7095E" w:rsidRDefault="00373A70" w:rsidP="00D7095E">
      <w:pPr>
        <w:pStyle w:val="a7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координація діяльності державних органів по питаннях функціонування в Україні ринку цінних паперів і їх похідних;</w:t>
      </w:r>
    </w:p>
    <w:p w:rsidR="00373A70" w:rsidRPr="00D7095E" w:rsidRDefault="00373A70" w:rsidP="00D7095E">
      <w:pPr>
        <w:pStyle w:val="a7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здійснення державної регуляції і контролю за випуском і зверненням цінних паперів і їх похідних на території України, дотримання вимог законодавства в цій сфері;</w:t>
      </w:r>
    </w:p>
    <w:p w:rsidR="00373A70" w:rsidRPr="00D7095E" w:rsidRDefault="00373A70" w:rsidP="00D7095E">
      <w:pPr>
        <w:pStyle w:val="a7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захист прав інвесторів через застосування заходів щодо запобігання і припинення порушень законодавства на ринку цінних паперів, застосування санкцій за порушення законодавства в межах своїх повноважень;</w:t>
      </w:r>
    </w:p>
    <w:p w:rsidR="00373A70" w:rsidRPr="00D7095E" w:rsidRDefault="00373A70" w:rsidP="00D7095E">
      <w:pPr>
        <w:pStyle w:val="a7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сприяння розвитку ринку цінних паперів;</w:t>
      </w:r>
    </w:p>
    <w:p w:rsidR="00373A70" w:rsidRPr="00D7095E" w:rsidRDefault="00373A70" w:rsidP="00D7095E">
      <w:pPr>
        <w:pStyle w:val="a7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узагальнення практики застосування законодавства України по питаннях випуску і звернення цінних паперів в Україні, розробка пропозицій щодо його вдосконалення.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 xml:space="preserve">Відповідно до Закону України </w:t>
      </w:r>
      <w:r w:rsidR="00D7095E">
        <w:rPr>
          <w:color w:val="000000"/>
          <w:sz w:val="28"/>
          <w:szCs w:val="28"/>
          <w:lang w:val="uk-UA"/>
        </w:rPr>
        <w:t>«</w:t>
      </w:r>
      <w:r w:rsidRPr="00D7095E">
        <w:rPr>
          <w:color w:val="000000"/>
          <w:sz w:val="28"/>
          <w:szCs w:val="28"/>
          <w:lang w:val="uk-UA"/>
        </w:rPr>
        <w:t>Про державне регулювання ринку цінних паперів в Україні</w:t>
      </w:r>
      <w:r w:rsidR="00D7095E">
        <w:rPr>
          <w:color w:val="000000"/>
          <w:sz w:val="28"/>
          <w:szCs w:val="28"/>
          <w:lang w:val="uk-UA"/>
        </w:rPr>
        <w:t>»</w:t>
      </w:r>
      <w:r w:rsidRPr="00D7095E">
        <w:rPr>
          <w:color w:val="000000"/>
          <w:sz w:val="28"/>
          <w:szCs w:val="28"/>
          <w:lang w:val="uk-UA"/>
        </w:rPr>
        <w:t xml:space="preserve"> Державна комісія з цінних паперів та фондового ринку здійснює формування та забезпечення реалізації єдиної державної політики щодо розвитку та функціонування ринку цінних паперів та їх похідних в Україні, а також координацію діяльності державних органів у вирішенні зазначених питань.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Розпорядження Кабінету Міністрів України від 07.03.2006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1</w:t>
      </w:r>
      <w:r w:rsidRPr="00D7095E">
        <w:rPr>
          <w:color w:val="000000"/>
          <w:sz w:val="28"/>
          <w:szCs w:val="28"/>
          <w:lang w:val="uk-UA"/>
        </w:rPr>
        <w:t>31</w:t>
      </w:r>
      <w:r w:rsidR="00D7095E">
        <w:rPr>
          <w:color w:val="000000"/>
          <w:sz w:val="28"/>
          <w:szCs w:val="28"/>
          <w:lang w:val="uk-UA"/>
        </w:rPr>
        <w:t>-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 затверджено план заходів з реалізації Основних напрямів розвитку фондового ринку України на 2006</w:t>
      </w:r>
      <w:r w:rsidR="00D7095E">
        <w:rPr>
          <w:color w:val="000000"/>
          <w:sz w:val="28"/>
          <w:szCs w:val="28"/>
          <w:lang w:val="uk-UA"/>
        </w:rPr>
        <w:t>–</w:t>
      </w:r>
      <w:r w:rsidR="00D7095E" w:rsidRPr="00D7095E">
        <w:rPr>
          <w:color w:val="000000"/>
          <w:sz w:val="28"/>
          <w:szCs w:val="28"/>
          <w:lang w:val="uk-UA"/>
        </w:rPr>
        <w:t>2</w:t>
      </w:r>
      <w:r w:rsidRPr="00D7095E">
        <w:rPr>
          <w:color w:val="000000"/>
          <w:sz w:val="28"/>
          <w:szCs w:val="28"/>
          <w:lang w:val="uk-UA"/>
        </w:rPr>
        <w:t>010 роки.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План заходів з реалізації Основних напрямів розвитку фондового ринку України на 2005</w:t>
      </w:r>
      <w:r w:rsidR="00D7095E">
        <w:rPr>
          <w:color w:val="000000"/>
          <w:sz w:val="28"/>
          <w:szCs w:val="28"/>
          <w:lang w:val="uk-UA"/>
        </w:rPr>
        <w:t>–</w:t>
      </w:r>
      <w:r w:rsidR="00D7095E" w:rsidRPr="00D7095E">
        <w:rPr>
          <w:color w:val="000000"/>
          <w:sz w:val="28"/>
          <w:szCs w:val="28"/>
          <w:lang w:val="uk-UA"/>
        </w:rPr>
        <w:t>2</w:t>
      </w:r>
      <w:r w:rsidRPr="00D7095E">
        <w:rPr>
          <w:color w:val="000000"/>
          <w:sz w:val="28"/>
          <w:szCs w:val="28"/>
          <w:lang w:val="uk-UA"/>
        </w:rPr>
        <w:t>010 роки передбачає реалізацію державної політики у сфері функціонування фондового ринку, спрямованої на створення умов для постійного підвищення капіталізації економіки, запровадження ефективної системи захисту прав інвесторів, забезпечення прозорих правил і процедури діяльності учасників фондового ринку, використання надійних та ліквідних інструментів ринку цінних паперів.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Державна комісія з цінних парів та фондового ринку здійснює свою діяльність відповідно до зазначеного Плану заходів за такими стратегічними напрямами: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удосконалення механізмів захисту прав інвесторів;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розвиток інструментів ринку цінних паперів;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зосередження укладення договорів купівлі-продажу цінних паперів на фондових біржах та інших організаторах торгівлі цінними паперами;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удосконалення Національної депозитарної системи;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удосконалення системи розкриття інформації на ринку цінних паперів;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розвиток інвестиційної інфраструктури.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Рішенням Державної комісії з цінних паперів та фондового ринку від 15.02.2007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3</w:t>
      </w:r>
      <w:r w:rsidRPr="00D7095E">
        <w:rPr>
          <w:color w:val="000000"/>
          <w:sz w:val="28"/>
          <w:szCs w:val="28"/>
          <w:lang w:val="uk-UA"/>
        </w:rPr>
        <w:t>99 визначено пріоритетні напрями розвитку фондового ринку на 2007 рік, а саме: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підвищення рівня корпоративного управління в акціонерних товариствах та забезпечення захисту прав інвесторів;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удосконалення системи обліку прав власності на цінні папери;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впровадження механізмів розкриття інформації на фондовому ринку;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впровадження механізмів пруденційного нагляду;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 xml:space="preserve">формування системи попередження недружнього </w:t>
      </w:r>
      <w:r w:rsidR="00D7095E" w:rsidRPr="00D7095E">
        <w:rPr>
          <w:color w:val="000000"/>
          <w:sz w:val="28"/>
          <w:szCs w:val="28"/>
          <w:lang w:val="uk-UA"/>
        </w:rPr>
        <w:t>(</w:t>
      </w:r>
      <w:r w:rsidR="00D7095E">
        <w:rPr>
          <w:color w:val="000000"/>
          <w:sz w:val="28"/>
          <w:szCs w:val="28"/>
        </w:rPr>
        <w:t>«</w:t>
      </w:r>
      <w:r w:rsidR="00D7095E" w:rsidRPr="00D7095E">
        <w:rPr>
          <w:color w:val="000000"/>
          <w:sz w:val="28"/>
          <w:szCs w:val="28"/>
          <w:lang w:val="uk-UA"/>
        </w:rPr>
        <w:t>рейдерського</w:t>
      </w:r>
      <w:r w:rsidR="00D7095E">
        <w:rPr>
          <w:color w:val="000000"/>
          <w:sz w:val="28"/>
          <w:szCs w:val="28"/>
        </w:rPr>
        <w:t>»</w:t>
      </w:r>
      <w:r w:rsidRPr="00D7095E">
        <w:rPr>
          <w:color w:val="000000"/>
          <w:sz w:val="28"/>
          <w:szCs w:val="28"/>
          <w:lang w:val="uk-UA"/>
        </w:rPr>
        <w:t>) поглинання акціонерних товариств;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вдосконалення напрямів державного регулювання фондового ринку.</w:t>
      </w:r>
    </w:p>
    <w:p w:rsidR="00373A70" w:rsidRPr="00D7095E" w:rsidRDefault="00373A70" w:rsidP="00D7095E">
      <w:pPr>
        <w:pStyle w:val="a7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 xml:space="preserve">Важливу роль в регуляції корпоративного сектору грає </w:t>
      </w:r>
      <w:r w:rsidRPr="00D7095E">
        <w:rPr>
          <w:b/>
          <w:bCs/>
          <w:i/>
          <w:iCs/>
          <w:color w:val="000000"/>
          <w:sz w:val="28"/>
          <w:szCs w:val="28"/>
          <w:lang w:eastAsia="uk-UA"/>
        </w:rPr>
        <w:t>Антимонопольний комітет</w:t>
      </w:r>
      <w:r w:rsidRPr="00D7095E">
        <w:rPr>
          <w:color w:val="000000"/>
          <w:sz w:val="28"/>
          <w:szCs w:val="28"/>
          <w:lang w:eastAsia="uk-UA"/>
        </w:rPr>
        <w:t>.</w:t>
      </w:r>
    </w:p>
    <w:p w:rsidR="00373A70" w:rsidRPr="00D7095E" w:rsidRDefault="00373A70" w:rsidP="00D7095E">
      <w:pPr>
        <w:pStyle w:val="a7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Антимонопольному комітету надані достатньо широкі права, оскільки створення, злиття, приєднання, ліквідація господарюючих суб'єктів (у т.ч. господарського суспільства, асоціації, концерну і іншого об'єднання підприємств), придбання, придбання іншим способом у власність, отримання у управління (користування) частинок (акцій, паїв), а також активів (майна) у вигляді цілісних майнових комплексів господарюючих суб'єктів або їх структурних підрозділів, оренда цілісних майнових комплексів господарюючих суб'єктів або їх структурних підрозділів здійснюється тільки за його згодою або його органів.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373A70" w:rsidRPr="00D7095E" w:rsidRDefault="00373A70" w:rsidP="00D7095E">
      <w:pPr>
        <w:numPr>
          <w:ilvl w:val="0"/>
          <w:numId w:val="12"/>
        </w:numPr>
        <w:spacing w:before="0" w:after="0" w:line="360" w:lineRule="auto"/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D7095E">
        <w:rPr>
          <w:b/>
          <w:color w:val="000000"/>
          <w:sz w:val="28"/>
          <w:szCs w:val="28"/>
          <w:lang w:val="uk-UA"/>
        </w:rPr>
        <w:t>Методи державного регулювання корпоративного управління в Україні</w:t>
      </w:r>
    </w:p>
    <w:p w:rsidR="00373A70" w:rsidRPr="00D7095E" w:rsidRDefault="00373A70" w:rsidP="00D7095E">
      <w:pPr>
        <w:pStyle w:val="a7"/>
        <w:tabs>
          <w:tab w:val="clear" w:pos="4153"/>
          <w:tab w:val="clear" w:pos="8306"/>
        </w:tabs>
        <w:spacing w:line="360" w:lineRule="auto"/>
        <w:ind w:firstLine="709"/>
        <w:jc w:val="both"/>
        <w:rPr>
          <w:b/>
          <w:color w:val="000000"/>
          <w:sz w:val="28"/>
          <w:szCs w:val="28"/>
          <w:lang w:eastAsia="uk-UA"/>
        </w:rPr>
      </w:pPr>
    </w:p>
    <w:p w:rsidR="00373A70" w:rsidRPr="00D7095E" w:rsidRDefault="00373A70" w:rsidP="00D7095E">
      <w:pPr>
        <w:pStyle w:val="a7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 xml:space="preserve">Світова практика свідчить про </w:t>
      </w:r>
      <w:r w:rsidRPr="00D7095E">
        <w:rPr>
          <w:color w:val="000000"/>
          <w:sz w:val="28"/>
          <w:szCs w:val="28"/>
          <w:lang w:val="ru-RU" w:eastAsia="uk-UA"/>
        </w:rPr>
        <w:t>багатоманітність</w:t>
      </w:r>
      <w:r w:rsidRPr="00D7095E">
        <w:rPr>
          <w:color w:val="000000"/>
          <w:sz w:val="28"/>
          <w:szCs w:val="28"/>
          <w:lang w:eastAsia="uk-UA"/>
        </w:rPr>
        <w:t xml:space="preserve"> </w:t>
      </w:r>
      <w:r w:rsidRPr="00D7095E">
        <w:rPr>
          <w:b/>
          <w:bCs/>
          <w:i/>
          <w:iCs/>
          <w:color w:val="000000"/>
          <w:sz w:val="28"/>
          <w:szCs w:val="28"/>
          <w:lang w:eastAsia="uk-UA"/>
        </w:rPr>
        <w:t>форм державно</w:t>
      </w:r>
      <w:r w:rsidRPr="00D7095E">
        <w:rPr>
          <w:b/>
          <w:bCs/>
          <w:i/>
          <w:iCs/>
          <w:color w:val="000000"/>
          <w:sz w:val="28"/>
          <w:szCs w:val="28"/>
          <w:lang w:val="ru-RU" w:eastAsia="uk-UA"/>
        </w:rPr>
        <w:t>го</w:t>
      </w:r>
      <w:r w:rsidRPr="00D7095E">
        <w:rPr>
          <w:b/>
          <w:bCs/>
          <w:i/>
          <w:iCs/>
          <w:color w:val="000000"/>
          <w:sz w:val="28"/>
          <w:szCs w:val="28"/>
          <w:lang w:eastAsia="uk-UA"/>
        </w:rPr>
        <w:t xml:space="preserve"> регул</w:t>
      </w:r>
      <w:r w:rsidRPr="00D7095E">
        <w:rPr>
          <w:b/>
          <w:bCs/>
          <w:i/>
          <w:iCs/>
          <w:color w:val="000000"/>
          <w:sz w:val="28"/>
          <w:szCs w:val="28"/>
          <w:lang w:val="ru-RU" w:eastAsia="uk-UA"/>
        </w:rPr>
        <w:t>ювання</w:t>
      </w:r>
      <w:r w:rsidRPr="00D7095E">
        <w:rPr>
          <w:b/>
          <w:bCs/>
          <w:i/>
          <w:iCs/>
          <w:color w:val="000000"/>
          <w:sz w:val="28"/>
          <w:szCs w:val="28"/>
          <w:lang w:eastAsia="uk-UA"/>
        </w:rPr>
        <w:t xml:space="preserve"> ринку цінних паперів і корпоративного сектору</w:t>
      </w:r>
      <w:r w:rsidRPr="00D7095E">
        <w:rPr>
          <w:color w:val="000000"/>
          <w:sz w:val="28"/>
          <w:szCs w:val="28"/>
          <w:lang w:eastAsia="uk-UA"/>
        </w:rPr>
        <w:t>. Проте при деякій специфіці таких форм можна виділити ті, які мають загальні риси:</w:t>
      </w:r>
    </w:p>
    <w:p w:rsidR="00373A70" w:rsidRPr="00D7095E" w:rsidRDefault="00373A70" w:rsidP="00D7095E">
      <w:pPr>
        <w:pStyle w:val="a7"/>
        <w:numPr>
          <w:ilvl w:val="0"/>
          <w:numId w:val="5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ухвалення актів законодавства по питаннях учасників ринку цінних паперів</w:t>
      </w:r>
      <w:r w:rsidR="00D7095E">
        <w:rPr>
          <w:color w:val="000000"/>
          <w:sz w:val="28"/>
          <w:szCs w:val="28"/>
          <w:lang w:eastAsia="uk-UA"/>
        </w:rPr>
        <w:t xml:space="preserve"> </w:t>
      </w:r>
      <w:r w:rsidRPr="00D7095E">
        <w:rPr>
          <w:color w:val="000000"/>
          <w:sz w:val="28"/>
          <w:szCs w:val="28"/>
          <w:lang w:eastAsia="uk-UA"/>
        </w:rPr>
        <w:t>і корпоративних відносин;</w:t>
      </w:r>
    </w:p>
    <w:p w:rsidR="00373A70" w:rsidRPr="00D7095E" w:rsidRDefault="00373A70" w:rsidP="00D7095E">
      <w:pPr>
        <w:pStyle w:val="a7"/>
        <w:numPr>
          <w:ilvl w:val="0"/>
          <w:numId w:val="5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регулювання випуску і звернення цінних паперів, має рацію і обов'язків учасників ринку цінних паперів;</w:t>
      </w:r>
    </w:p>
    <w:p w:rsidR="00373A70" w:rsidRPr="00D7095E" w:rsidRDefault="00373A70" w:rsidP="00D7095E">
      <w:pPr>
        <w:pStyle w:val="a7"/>
        <w:numPr>
          <w:ilvl w:val="0"/>
          <w:numId w:val="5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реєстрація випуску (емісії) цінних паперів і інформації про випуск (емісію) цінних паперів;</w:t>
      </w:r>
    </w:p>
    <w:p w:rsidR="00373A70" w:rsidRPr="00D7095E" w:rsidRDefault="00373A70" w:rsidP="00D7095E">
      <w:pPr>
        <w:pStyle w:val="a7"/>
        <w:numPr>
          <w:ilvl w:val="0"/>
          <w:numId w:val="5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контроль за дотриманням емітентами порядку реєстрації випуску цінних паперів, інформації про випуск цінних паперів, а також умов їх продажу (розміщення);</w:t>
      </w:r>
    </w:p>
    <w:p w:rsidR="00373A70" w:rsidRPr="00D7095E" w:rsidRDefault="00373A70" w:rsidP="00D7095E">
      <w:pPr>
        <w:pStyle w:val="a7"/>
        <w:numPr>
          <w:ilvl w:val="0"/>
          <w:numId w:val="5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розробка норм і контроль за дотриманням антимонопольного</w:t>
      </w:r>
      <w:r w:rsidR="00D7095E">
        <w:rPr>
          <w:color w:val="000000"/>
          <w:sz w:val="28"/>
          <w:szCs w:val="28"/>
          <w:lang w:eastAsia="uk-UA"/>
        </w:rPr>
        <w:t xml:space="preserve"> </w:t>
      </w:r>
      <w:r w:rsidRPr="00D7095E">
        <w:rPr>
          <w:color w:val="000000"/>
          <w:sz w:val="28"/>
          <w:szCs w:val="28"/>
          <w:lang w:eastAsia="uk-UA"/>
        </w:rPr>
        <w:t>законодавства;</w:t>
      </w:r>
    </w:p>
    <w:p w:rsidR="00373A70" w:rsidRPr="00D7095E" w:rsidRDefault="00373A70" w:rsidP="00D7095E">
      <w:pPr>
        <w:pStyle w:val="a7"/>
        <w:numPr>
          <w:ilvl w:val="0"/>
          <w:numId w:val="5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контроль за системами ціноутворення;</w:t>
      </w:r>
    </w:p>
    <w:p w:rsidR="00373A70" w:rsidRPr="00D7095E" w:rsidRDefault="00373A70" w:rsidP="00D7095E">
      <w:pPr>
        <w:pStyle w:val="a7"/>
        <w:numPr>
          <w:ilvl w:val="0"/>
          <w:numId w:val="5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встановлення правив і стандартів здійснення операцій і контроль за їх дотриманням але ін.</w:t>
      </w:r>
    </w:p>
    <w:p w:rsidR="00373A70" w:rsidRPr="00D7095E" w:rsidRDefault="00373A70" w:rsidP="00D7095E">
      <w:pPr>
        <w:pStyle w:val="a7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 xml:space="preserve">До </w:t>
      </w:r>
      <w:r w:rsidRPr="00D7095E">
        <w:rPr>
          <w:b/>
          <w:bCs/>
          <w:i/>
          <w:iCs/>
          <w:color w:val="000000"/>
          <w:sz w:val="28"/>
          <w:szCs w:val="28"/>
          <w:lang w:eastAsia="uk-UA"/>
        </w:rPr>
        <w:t>функцій державно</w:t>
      </w:r>
      <w:r w:rsidRPr="00D7095E">
        <w:rPr>
          <w:b/>
          <w:bCs/>
          <w:i/>
          <w:iCs/>
          <w:color w:val="000000"/>
          <w:sz w:val="28"/>
          <w:szCs w:val="28"/>
          <w:lang w:val="ru-RU" w:eastAsia="uk-UA"/>
        </w:rPr>
        <w:t>го</w:t>
      </w:r>
      <w:r w:rsidRPr="00D7095E">
        <w:rPr>
          <w:b/>
          <w:bCs/>
          <w:i/>
          <w:iCs/>
          <w:color w:val="000000"/>
          <w:sz w:val="28"/>
          <w:szCs w:val="28"/>
          <w:lang w:eastAsia="uk-UA"/>
        </w:rPr>
        <w:t xml:space="preserve"> регул</w:t>
      </w:r>
      <w:r w:rsidRPr="00D7095E">
        <w:rPr>
          <w:b/>
          <w:bCs/>
          <w:i/>
          <w:iCs/>
          <w:color w:val="000000"/>
          <w:sz w:val="28"/>
          <w:szCs w:val="28"/>
          <w:lang w:val="ru-RU" w:eastAsia="uk-UA"/>
        </w:rPr>
        <w:t>ювання</w:t>
      </w:r>
      <w:r w:rsidRPr="00D7095E">
        <w:rPr>
          <w:b/>
          <w:bCs/>
          <w:i/>
          <w:iCs/>
          <w:color w:val="000000"/>
          <w:sz w:val="28"/>
          <w:szCs w:val="28"/>
          <w:lang w:eastAsia="uk-UA"/>
        </w:rPr>
        <w:t xml:space="preserve"> </w:t>
      </w:r>
      <w:r w:rsidRPr="00D7095E">
        <w:rPr>
          <w:color w:val="000000"/>
          <w:sz w:val="28"/>
          <w:szCs w:val="28"/>
          <w:lang w:eastAsia="uk-UA"/>
        </w:rPr>
        <w:t>можна віднести такі:</w:t>
      </w:r>
    </w:p>
    <w:p w:rsidR="00373A70" w:rsidRPr="00D7095E" w:rsidRDefault="00373A70" w:rsidP="00D7095E">
      <w:pPr>
        <w:pStyle w:val="a7"/>
        <w:numPr>
          <w:ilvl w:val="0"/>
          <w:numId w:val="6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створення системи захисту прав інвесторів і контролю за дотриманням цих прав емітентами цінних паперів і особами, які здійснюють професійну діяльність на ринку цінних паперів;</w:t>
      </w:r>
    </w:p>
    <w:p w:rsidR="00373A70" w:rsidRPr="00D7095E" w:rsidRDefault="00373A70" w:rsidP="00D7095E">
      <w:pPr>
        <w:pStyle w:val="a7"/>
        <w:numPr>
          <w:ilvl w:val="0"/>
          <w:numId w:val="6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контроль за достовірністю інформації, яка надається емітентами і особами,</w:t>
      </w:r>
      <w:r w:rsidR="00D7095E">
        <w:rPr>
          <w:color w:val="000000"/>
          <w:sz w:val="28"/>
          <w:szCs w:val="28"/>
          <w:lang w:eastAsia="uk-UA"/>
        </w:rPr>
        <w:t xml:space="preserve"> </w:t>
      </w:r>
      <w:r w:rsidRPr="00D7095E">
        <w:rPr>
          <w:color w:val="000000"/>
          <w:sz w:val="28"/>
          <w:szCs w:val="28"/>
          <w:lang w:eastAsia="uk-UA"/>
        </w:rPr>
        <w:t>які здійснюють професійну діяльність на ринку цінних паперів, контролюючим органам;</w:t>
      </w:r>
    </w:p>
    <w:p w:rsidR="00373A70" w:rsidRPr="00D7095E" w:rsidRDefault="00373A70" w:rsidP="00D7095E">
      <w:pPr>
        <w:pStyle w:val="a7"/>
        <w:numPr>
          <w:ilvl w:val="0"/>
          <w:numId w:val="6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видання ліцензій на здійснення професійної діяльності на ринку цінних паперів і забезпечення контролю за такою діяльністю;</w:t>
      </w:r>
    </w:p>
    <w:p w:rsidR="00373A70" w:rsidRPr="00D7095E" w:rsidRDefault="00373A70" w:rsidP="00D7095E">
      <w:pPr>
        <w:pStyle w:val="a7"/>
        <w:numPr>
          <w:ilvl w:val="0"/>
          <w:numId w:val="6"/>
        </w:numPr>
        <w:tabs>
          <w:tab w:val="clear" w:pos="4153"/>
          <w:tab w:val="clear" w:pos="8306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D7095E">
        <w:rPr>
          <w:color w:val="000000"/>
          <w:sz w:val="28"/>
          <w:szCs w:val="28"/>
          <w:lang w:eastAsia="uk-UA"/>
        </w:rPr>
        <w:t>заборона і припинення на певний термін професійної діяльності на ринку цінних паперів у разі відсутності ліцензії на цю діяльність і притягання до відповідальності за здійснення такої діяльності згідно чинному законодавству.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373A70" w:rsidRPr="00D7095E" w:rsidRDefault="001044FB" w:rsidP="00D7095E">
      <w:pPr>
        <w:pStyle w:val="a3"/>
        <w:numPr>
          <w:ilvl w:val="0"/>
          <w:numId w:val="12"/>
        </w:numPr>
        <w:autoSpaceDE/>
        <w:autoSpaceDN/>
        <w:spacing w:line="360" w:lineRule="auto"/>
        <w:ind w:left="0"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373A70" w:rsidRPr="00D7095E">
        <w:rPr>
          <w:b/>
          <w:color w:val="000000"/>
          <w:sz w:val="28"/>
          <w:szCs w:val="28"/>
        </w:rPr>
        <w:t>Захист прав інвесторів у системі корпоративного управління</w:t>
      </w:r>
    </w:p>
    <w:p w:rsidR="00373A70" w:rsidRPr="00D7095E" w:rsidRDefault="00373A70" w:rsidP="00052ABF">
      <w:pPr>
        <w:spacing w:before="0" w:after="0" w:line="360" w:lineRule="auto"/>
        <w:jc w:val="both"/>
        <w:rPr>
          <w:color w:val="000000"/>
          <w:sz w:val="28"/>
          <w:lang w:val="uk-UA"/>
        </w:rPr>
      </w:pP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Для створення загальноекономічних умов розширення інвестиційних процесів необхідна комплексна робота з різними типами потенційних і діючих інвесторів для того, щоб запропоновані державними органами і професійним співтовариством заходи загальноекономічної, інвестиційної, фінансової і грошово-кредитної політики насамперед орієнтувалися на стимулювання інвестицій, економічне зростання.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Для поліпшення інвестиційного клімату і збільшення обсягів інвестування, необхідно проведення заходів наступного характеру: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стимулювання інвестиційної активності;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здійснення роботи з іноземними інвесторами;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здійснення роботи з роздрібними і колективними інвесторами;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формування власності менеджерів і працівників підприємств;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використання рейтингів органами місцевого самоврядування;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З метою забезпечення надходження інвестицій необхідно вирішити наступні задачі: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захист прав інвесторів, у тому числі: підвищення матеріальної забезпеченості зобов'язань, що випливають з цінних паперів; розкриття інформації і її підтвердження; забезпечення доведення інформації до інвесторів; захист сумлінних набувачів; захист міноритарних акціонерів;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залучення до фондового ринку не менш 15</w:t>
      </w:r>
      <w:r w:rsidR="00D7095E">
        <w:rPr>
          <w:color w:val="000000"/>
          <w:sz w:val="28"/>
          <w:szCs w:val="28"/>
          <w:lang w:val="uk-UA"/>
        </w:rPr>
        <w:t>–</w:t>
      </w:r>
      <w:r w:rsidR="00D7095E" w:rsidRPr="00D7095E">
        <w:rPr>
          <w:color w:val="000000"/>
          <w:sz w:val="28"/>
          <w:szCs w:val="28"/>
          <w:lang w:val="uk-UA"/>
        </w:rPr>
        <w:t>20</w:t>
      </w:r>
      <w:r w:rsidR="00D7095E">
        <w:rPr>
          <w:color w:val="000000"/>
          <w:sz w:val="28"/>
          <w:szCs w:val="28"/>
          <w:lang w:val="uk-UA"/>
        </w:rPr>
        <w:t>%</w:t>
      </w:r>
      <w:r w:rsidRPr="00D7095E">
        <w:rPr>
          <w:color w:val="000000"/>
          <w:sz w:val="28"/>
          <w:szCs w:val="28"/>
          <w:lang w:val="uk-UA"/>
        </w:rPr>
        <w:t xml:space="preserve"> заощаджень громадян;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стимулювання виходу регіональних компаній на публічний фондовий ринок з метою залучення коштів;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податкове заохочення, створення на підприємствах інвестиційних і опціонних планів для розширення права власності працівників на акції своїх компаній;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розробка системи правових заходів для захисту інтересів дрібних інвесторів на фондовому ринку.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i/>
          <w:color w:val="000000"/>
          <w:sz w:val="28"/>
          <w:szCs w:val="28"/>
          <w:lang w:val="uk-UA"/>
        </w:rPr>
      </w:pPr>
      <w:r w:rsidRPr="00D7095E">
        <w:rPr>
          <w:i/>
          <w:color w:val="000000"/>
          <w:sz w:val="28"/>
          <w:szCs w:val="28"/>
          <w:lang w:val="uk-UA"/>
        </w:rPr>
        <w:t>Розкриття інформації у корпоративних відносинах</w:t>
      </w:r>
    </w:p>
    <w:p w:rsidR="00373A70" w:rsidRPr="00D7095E" w:rsidRDefault="00373A70" w:rsidP="00D7095E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D7095E">
        <w:rPr>
          <w:bCs/>
          <w:color w:val="000000"/>
          <w:sz w:val="28"/>
          <w:szCs w:val="28"/>
          <w:lang w:eastAsia="uk-UA"/>
        </w:rPr>
        <w:t xml:space="preserve">За режимом доступу інформація розділяється на дві групи </w:t>
      </w:r>
      <w:r w:rsidR="00D7095E">
        <w:rPr>
          <w:bCs/>
          <w:color w:val="000000"/>
          <w:sz w:val="28"/>
          <w:szCs w:val="28"/>
          <w:lang w:eastAsia="uk-UA"/>
        </w:rPr>
        <w:t>–</w:t>
      </w:r>
      <w:r w:rsidR="00D7095E" w:rsidRPr="00D7095E">
        <w:rPr>
          <w:bCs/>
          <w:color w:val="000000"/>
          <w:sz w:val="28"/>
          <w:szCs w:val="28"/>
          <w:lang w:eastAsia="uk-UA"/>
        </w:rPr>
        <w:t xml:space="preserve"> </w:t>
      </w:r>
      <w:r w:rsidRPr="00D7095E">
        <w:rPr>
          <w:bCs/>
          <w:color w:val="000000"/>
          <w:sz w:val="28"/>
          <w:szCs w:val="28"/>
          <w:lang w:eastAsia="uk-UA"/>
        </w:rPr>
        <w:t>відкрита інформація і інформація з обмеженим доступом, яка у свою чергу розділяється на конфіденційну і таємну.</w:t>
      </w:r>
    </w:p>
    <w:p w:rsidR="00373A70" w:rsidRPr="00D7095E" w:rsidRDefault="00373A70" w:rsidP="00D7095E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D7095E">
        <w:rPr>
          <w:i/>
          <w:iCs/>
          <w:color w:val="000000"/>
          <w:sz w:val="28"/>
          <w:szCs w:val="28"/>
          <w:lang w:eastAsia="uk-UA"/>
        </w:rPr>
        <w:t xml:space="preserve">Відкрита інформація </w:t>
      </w:r>
      <w:r w:rsidR="00D7095E">
        <w:rPr>
          <w:bCs/>
          <w:color w:val="000000"/>
          <w:sz w:val="28"/>
          <w:szCs w:val="28"/>
          <w:lang w:eastAsia="uk-UA"/>
        </w:rPr>
        <w:t>–</w:t>
      </w:r>
      <w:r w:rsidR="00D7095E" w:rsidRPr="00D7095E">
        <w:rPr>
          <w:bCs/>
          <w:color w:val="000000"/>
          <w:sz w:val="28"/>
          <w:szCs w:val="28"/>
          <w:lang w:eastAsia="uk-UA"/>
        </w:rPr>
        <w:t xml:space="preserve"> </w:t>
      </w:r>
      <w:r w:rsidRPr="00D7095E">
        <w:rPr>
          <w:bCs/>
          <w:color w:val="000000"/>
          <w:sz w:val="28"/>
          <w:szCs w:val="28"/>
          <w:lang w:eastAsia="uk-UA"/>
        </w:rPr>
        <w:t>це відомості, які призначені для вільного розповсюдження серед необмеженого коло осіб.</w:t>
      </w:r>
    </w:p>
    <w:p w:rsidR="00373A70" w:rsidRPr="00D7095E" w:rsidRDefault="00373A70" w:rsidP="00D7095E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D7095E">
        <w:rPr>
          <w:bCs/>
          <w:color w:val="000000"/>
          <w:sz w:val="28"/>
          <w:szCs w:val="28"/>
          <w:lang w:eastAsia="uk-UA"/>
        </w:rPr>
        <w:t>Розповсюдження відкритої інформації може бути таким, що ініціює декількома суб'єктами: державою, власником, зацікавленою особою. Відповідно, відкриту інформацію можна розділити на групи за цією ознакою:</w:t>
      </w:r>
    </w:p>
    <w:p w:rsidR="00373A70" w:rsidRPr="00D7095E" w:rsidRDefault="00373A70" w:rsidP="00D7095E">
      <w:pPr>
        <w:pStyle w:val="a6"/>
        <w:widowControl/>
        <w:numPr>
          <w:ilvl w:val="0"/>
          <w:numId w:val="9"/>
        </w:numPr>
        <w:spacing w:line="360" w:lineRule="auto"/>
        <w:ind w:left="0" w:firstLine="709"/>
        <w:rPr>
          <w:color w:val="000000"/>
          <w:szCs w:val="28"/>
        </w:rPr>
      </w:pPr>
      <w:r w:rsidRPr="00D7095E">
        <w:rPr>
          <w:bCs/>
          <w:i/>
          <w:iCs/>
          <w:color w:val="000000"/>
          <w:szCs w:val="28"/>
          <w:lang w:eastAsia="uk-UA"/>
        </w:rPr>
        <w:t>що ініціюють державою.</w:t>
      </w:r>
      <w:r w:rsidRPr="00D7095E">
        <w:rPr>
          <w:color w:val="000000"/>
          <w:szCs w:val="28"/>
          <w:lang w:eastAsia="uk-UA"/>
        </w:rPr>
        <w:t xml:space="preserve"> Чинне законодавство містить ряд норм, які зобов'язують суспільство поширювати інформацію про себе. Наприклад, Закон </w:t>
      </w:r>
      <w:r w:rsidR="00D7095E">
        <w:rPr>
          <w:color w:val="000000"/>
          <w:szCs w:val="28"/>
          <w:lang w:eastAsia="uk-UA"/>
        </w:rPr>
        <w:t>«</w:t>
      </w:r>
      <w:r w:rsidR="00D7095E" w:rsidRPr="00D7095E">
        <w:rPr>
          <w:color w:val="000000"/>
          <w:szCs w:val="28"/>
          <w:lang w:eastAsia="uk-UA"/>
        </w:rPr>
        <w:t>П</w:t>
      </w:r>
      <w:r w:rsidRPr="00D7095E">
        <w:rPr>
          <w:color w:val="000000"/>
          <w:szCs w:val="28"/>
          <w:lang w:eastAsia="uk-UA"/>
        </w:rPr>
        <w:t>ро цінні папери і фондову біржу</w:t>
      </w:r>
      <w:r w:rsidR="00D7095E">
        <w:rPr>
          <w:color w:val="000000"/>
          <w:szCs w:val="28"/>
          <w:lang w:eastAsia="uk-UA"/>
        </w:rPr>
        <w:t>»</w:t>
      </w:r>
      <w:r w:rsidR="00D7095E" w:rsidRPr="00D7095E">
        <w:rPr>
          <w:color w:val="000000"/>
          <w:szCs w:val="28"/>
          <w:lang w:eastAsia="uk-UA"/>
        </w:rPr>
        <w:t xml:space="preserve"> </w:t>
      </w:r>
      <w:r w:rsidRPr="00D7095E">
        <w:rPr>
          <w:color w:val="000000"/>
          <w:szCs w:val="28"/>
          <w:lang w:eastAsia="uk-UA"/>
        </w:rPr>
        <w:t xml:space="preserve">встановлює обов'язкову систематичну публікацію річного звіту і надання інформації до ДКЦПФР, Закон </w:t>
      </w:r>
      <w:r w:rsidR="00D7095E">
        <w:rPr>
          <w:color w:val="000000"/>
          <w:szCs w:val="28"/>
          <w:lang w:eastAsia="uk-UA"/>
        </w:rPr>
        <w:t>«</w:t>
      </w:r>
      <w:r w:rsidR="00D7095E" w:rsidRPr="00D7095E">
        <w:rPr>
          <w:color w:val="000000"/>
          <w:szCs w:val="28"/>
          <w:lang w:eastAsia="uk-UA"/>
        </w:rPr>
        <w:t>П</w:t>
      </w:r>
      <w:r w:rsidRPr="00D7095E">
        <w:rPr>
          <w:color w:val="000000"/>
          <w:szCs w:val="28"/>
          <w:lang w:eastAsia="uk-UA"/>
        </w:rPr>
        <w:t>ро господарські суспільства</w:t>
      </w:r>
      <w:r w:rsidR="00D7095E">
        <w:rPr>
          <w:color w:val="000000"/>
          <w:szCs w:val="28"/>
          <w:lang w:eastAsia="uk-UA"/>
        </w:rPr>
        <w:t>»</w:t>
      </w:r>
      <w:r w:rsidR="00D7095E" w:rsidRPr="00D7095E">
        <w:rPr>
          <w:color w:val="000000"/>
          <w:szCs w:val="28"/>
          <w:lang w:eastAsia="uk-UA"/>
        </w:rPr>
        <w:t xml:space="preserve"> </w:t>
      </w:r>
      <w:r w:rsidRPr="00D7095E">
        <w:rPr>
          <w:color w:val="000000"/>
          <w:szCs w:val="28"/>
          <w:lang w:eastAsia="uk-UA"/>
        </w:rPr>
        <w:t>зобов'язує суспільство публікувати повідомлення про скликання загальних зборів і персонально повідомляти про це держателів іменних акцій.</w:t>
      </w:r>
    </w:p>
    <w:p w:rsidR="00373A70" w:rsidRPr="00D7095E" w:rsidRDefault="00373A70" w:rsidP="00D7095E">
      <w:pPr>
        <w:pStyle w:val="a6"/>
        <w:widowControl/>
        <w:numPr>
          <w:ilvl w:val="0"/>
          <w:numId w:val="9"/>
        </w:numPr>
        <w:spacing w:line="360" w:lineRule="auto"/>
        <w:ind w:left="0" w:firstLine="709"/>
        <w:rPr>
          <w:color w:val="000000"/>
          <w:szCs w:val="28"/>
        </w:rPr>
      </w:pPr>
      <w:r w:rsidRPr="00D7095E">
        <w:rPr>
          <w:bCs/>
          <w:i/>
          <w:iCs/>
          <w:color w:val="000000"/>
          <w:szCs w:val="28"/>
          <w:lang w:eastAsia="uk-UA"/>
        </w:rPr>
        <w:t>що ініціює власником.</w:t>
      </w:r>
      <w:r w:rsidRPr="00D7095E">
        <w:rPr>
          <w:color w:val="000000"/>
          <w:szCs w:val="28"/>
          <w:lang w:eastAsia="uk-UA"/>
        </w:rPr>
        <w:t xml:space="preserve"> У такому разі суспільство як власник інформації саме вирішує, яку інформацію і яким способом поширювати. Це може бути публікація квартальних звітів, інформація про продукцію суспільства.</w:t>
      </w:r>
    </w:p>
    <w:p w:rsidR="00373A70" w:rsidRPr="00D7095E" w:rsidRDefault="00373A70" w:rsidP="00D7095E">
      <w:pPr>
        <w:pStyle w:val="a6"/>
        <w:widowControl/>
        <w:numPr>
          <w:ilvl w:val="0"/>
          <w:numId w:val="9"/>
        </w:numPr>
        <w:spacing w:line="360" w:lineRule="auto"/>
        <w:ind w:left="0" w:firstLine="709"/>
        <w:rPr>
          <w:color w:val="000000"/>
          <w:szCs w:val="28"/>
        </w:rPr>
      </w:pPr>
      <w:r w:rsidRPr="00D7095E">
        <w:rPr>
          <w:bCs/>
          <w:i/>
          <w:iCs/>
          <w:color w:val="000000"/>
          <w:szCs w:val="28"/>
          <w:lang w:eastAsia="uk-UA"/>
        </w:rPr>
        <w:t>що ініціює зацікавленими особами</w:t>
      </w:r>
      <w:r w:rsidRPr="00D7095E">
        <w:rPr>
          <w:bCs/>
          <w:color w:val="000000"/>
          <w:szCs w:val="28"/>
          <w:lang w:eastAsia="uk-UA"/>
        </w:rPr>
        <w:t>.</w:t>
      </w:r>
      <w:r w:rsidRPr="00D7095E">
        <w:rPr>
          <w:color w:val="000000"/>
          <w:szCs w:val="28"/>
          <w:lang w:eastAsia="uk-UA"/>
        </w:rPr>
        <w:t xml:space="preserve"> Будь-яка особа має право на отримання інформації про діяльність суспільства. Іноді такому праву кореспондує обов'язок суспільства надавати інформацію на запит зацікавленої особи. Наприклад, Закон </w:t>
      </w:r>
      <w:r w:rsidR="00D7095E">
        <w:rPr>
          <w:color w:val="000000"/>
          <w:szCs w:val="28"/>
          <w:lang w:eastAsia="uk-UA"/>
        </w:rPr>
        <w:t>«</w:t>
      </w:r>
      <w:r w:rsidR="00D7095E" w:rsidRPr="00D7095E">
        <w:rPr>
          <w:color w:val="000000"/>
          <w:szCs w:val="28"/>
          <w:lang w:eastAsia="uk-UA"/>
        </w:rPr>
        <w:t>П</w:t>
      </w:r>
      <w:r w:rsidRPr="00D7095E">
        <w:rPr>
          <w:color w:val="000000"/>
          <w:szCs w:val="28"/>
          <w:lang w:eastAsia="uk-UA"/>
        </w:rPr>
        <w:t>ро господарські суспільства</w:t>
      </w:r>
      <w:r w:rsidR="00D7095E">
        <w:rPr>
          <w:color w:val="000000"/>
          <w:szCs w:val="28"/>
          <w:lang w:eastAsia="uk-UA"/>
        </w:rPr>
        <w:t>»</w:t>
      </w:r>
      <w:r w:rsidR="00D7095E" w:rsidRPr="00D7095E">
        <w:rPr>
          <w:color w:val="000000"/>
          <w:szCs w:val="28"/>
          <w:lang w:eastAsia="uk-UA"/>
        </w:rPr>
        <w:t xml:space="preserve"> </w:t>
      </w:r>
      <w:r w:rsidRPr="00D7095E">
        <w:rPr>
          <w:color w:val="000000"/>
          <w:szCs w:val="28"/>
          <w:lang w:eastAsia="uk-UA"/>
        </w:rPr>
        <w:t>зобов'язує суспільство на вимогу акціонера надавати йому для ознайомлення річні баланси, звіти суспільства про його діяльність, протоколи зборів, документи, пов'язані з порядком денним зборів, книги протоколів засідань правління і тому подібне.</w:t>
      </w:r>
    </w:p>
    <w:p w:rsidR="00373A70" w:rsidRPr="00D7095E" w:rsidRDefault="00373A70" w:rsidP="00D7095E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D7095E">
        <w:rPr>
          <w:bCs/>
          <w:color w:val="000000"/>
          <w:sz w:val="28"/>
          <w:szCs w:val="28"/>
          <w:lang w:eastAsia="uk-UA"/>
        </w:rPr>
        <w:t>Інформація може розповсюджуватися різними шляхами, а саме:</w:t>
      </w:r>
    </w:p>
    <w:p w:rsidR="00373A70" w:rsidRPr="00D7095E" w:rsidRDefault="00373A70" w:rsidP="00D7095E">
      <w:pPr>
        <w:pStyle w:val="a6"/>
        <w:widowControl/>
        <w:numPr>
          <w:ilvl w:val="0"/>
          <w:numId w:val="10"/>
        </w:numPr>
        <w:spacing w:line="360" w:lineRule="auto"/>
        <w:ind w:left="0" w:firstLine="709"/>
        <w:rPr>
          <w:color w:val="000000"/>
          <w:szCs w:val="28"/>
        </w:rPr>
      </w:pPr>
      <w:r w:rsidRPr="00D7095E">
        <w:rPr>
          <w:color w:val="000000"/>
          <w:szCs w:val="28"/>
          <w:lang w:eastAsia="uk-UA"/>
        </w:rPr>
        <w:t xml:space="preserve">публікація в офіційних друкарських виданнях. Закон України </w:t>
      </w:r>
      <w:r w:rsidR="00D7095E">
        <w:rPr>
          <w:color w:val="000000"/>
          <w:szCs w:val="28"/>
          <w:lang w:eastAsia="uk-UA"/>
        </w:rPr>
        <w:t>«</w:t>
      </w:r>
      <w:r w:rsidR="00D7095E" w:rsidRPr="00D7095E">
        <w:rPr>
          <w:color w:val="000000"/>
          <w:szCs w:val="28"/>
          <w:lang w:eastAsia="uk-UA"/>
        </w:rPr>
        <w:t>П</w:t>
      </w:r>
      <w:r w:rsidRPr="00D7095E">
        <w:rPr>
          <w:color w:val="000000"/>
          <w:szCs w:val="28"/>
          <w:lang w:eastAsia="uk-UA"/>
        </w:rPr>
        <w:t>ро цінні папери і фондову біржу</w:t>
      </w:r>
      <w:r w:rsidR="00D7095E">
        <w:rPr>
          <w:color w:val="000000"/>
          <w:szCs w:val="28"/>
          <w:lang w:eastAsia="uk-UA"/>
        </w:rPr>
        <w:t>»</w:t>
      </w:r>
      <w:r w:rsidR="00D7095E" w:rsidRPr="00D7095E">
        <w:rPr>
          <w:color w:val="000000"/>
          <w:szCs w:val="28"/>
          <w:lang w:eastAsia="uk-UA"/>
        </w:rPr>
        <w:t>,</w:t>
      </w:r>
      <w:r w:rsidRPr="00D7095E">
        <w:rPr>
          <w:color w:val="000000"/>
          <w:szCs w:val="28"/>
          <w:lang w:eastAsia="uk-UA"/>
        </w:rPr>
        <w:t xml:space="preserve"> наприклад, зобов'язує суспільство не менше одного разу на рік інформувати громадськість про своє господарсько-фінансове положення і публікувати річні звіти у встановлені терміни.</w:t>
      </w:r>
    </w:p>
    <w:p w:rsidR="00373A70" w:rsidRPr="00D7095E" w:rsidRDefault="00373A70" w:rsidP="00D7095E">
      <w:pPr>
        <w:pStyle w:val="a6"/>
        <w:widowControl/>
        <w:numPr>
          <w:ilvl w:val="0"/>
          <w:numId w:val="10"/>
        </w:numPr>
        <w:spacing w:line="360" w:lineRule="auto"/>
        <w:ind w:left="0" w:firstLine="709"/>
        <w:rPr>
          <w:color w:val="000000"/>
          <w:szCs w:val="28"/>
        </w:rPr>
      </w:pPr>
      <w:r w:rsidRPr="00D7095E">
        <w:rPr>
          <w:color w:val="000000"/>
          <w:szCs w:val="28"/>
          <w:lang w:eastAsia="uk-UA"/>
        </w:rPr>
        <w:t xml:space="preserve">розповсюдження через засоби комунікації. До цього вигляду розповсюдження інформації належить, наприклад, персональне повідомлення акціонерів про скликання загальних зборів, надання якого передбачене Законом України </w:t>
      </w:r>
      <w:r w:rsidR="00D7095E">
        <w:rPr>
          <w:color w:val="000000"/>
          <w:szCs w:val="28"/>
          <w:lang w:eastAsia="uk-UA"/>
        </w:rPr>
        <w:t>«</w:t>
      </w:r>
      <w:r w:rsidR="00D7095E" w:rsidRPr="00D7095E">
        <w:rPr>
          <w:color w:val="000000"/>
          <w:szCs w:val="28"/>
          <w:lang w:eastAsia="uk-UA"/>
        </w:rPr>
        <w:t>П</w:t>
      </w:r>
      <w:r w:rsidRPr="00D7095E">
        <w:rPr>
          <w:color w:val="000000"/>
          <w:szCs w:val="28"/>
          <w:lang w:eastAsia="uk-UA"/>
        </w:rPr>
        <w:t>ро господарські суспільства</w:t>
      </w:r>
      <w:r w:rsidR="00D7095E">
        <w:rPr>
          <w:color w:val="000000"/>
          <w:szCs w:val="28"/>
          <w:lang w:eastAsia="uk-UA"/>
        </w:rPr>
        <w:t>»</w:t>
      </w:r>
      <w:r w:rsidR="00D7095E" w:rsidRPr="00D7095E">
        <w:rPr>
          <w:color w:val="000000"/>
          <w:szCs w:val="28"/>
          <w:lang w:eastAsia="uk-UA"/>
        </w:rPr>
        <w:t>.</w:t>
      </w:r>
    </w:p>
    <w:p w:rsidR="00373A70" w:rsidRPr="00D7095E" w:rsidRDefault="00373A70" w:rsidP="00D7095E">
      <w:pPr>
        <w:pStyle w:val="a6"/>
        <w:widowControl/>
        <w:numPr>
          <w:ilvl w:val="0"/>
          <w:numId w:val="10"/>
        </w:numPr>
        <w:spacing w:line="360" w:lineRule="auto"/>
        <w:ind w:left="0" w:firstLine="709"/>
        <w:rPr>
          <w:color w:val="000000"/>
          <w:szCs w:val="28"/>
        </w:rPr>
      </w:pPr>
      <w:r w:rsidRPr="00D7095E">
        <w:rPr>
          <w:color w:val="000000"/>
          <w:szCs w:val="28"/>
          <w:lang w:eastAsia="uk-UA"/>
        </w:rPr>
        <w:t>безпосереднього надання на запит зацікавлених осіб. Це найбільш поширений спосіб розповсюдження інформації. Прикладом його застосування може бути надання акціонерові копій протоколів засідань правління або інших внутрішніх нормативних документів суспільства.</w:t>
      </w:r>
    </w:p>
    <w:p w:rsidR="00373A70" w:rsidRPr="00D7095E" w:rsidRDefault="00373A70" w:rsidP="00D7095E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D7095E">
        <w:rPr>
          <w:bCs/>
          <w:color w:val="000000"/>
          <w:sz w:val="28"/>
          <w:szCs w:val="28"/>
          <w:lang w:eastAsia="uk-UA"/>
        </w:rPr>
        <w:t>Як вже наголошувалося, інформація з обмеженим доступом розділяється на конфіденційну і таємну.</w:t>
      </w:r>
    </w:p>
    <w:p w:rsidR="00373A70" w:rsidRPr="00D7095E" w:rsidRDefault="00373A70" w:rsidP="00D7095E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D7095E">
        <w:rPr>
          <w:i/>
          <w:iCs/>
          <w:color w:val="000000"/>
          <w:sz w:val="28"/>
          <w:szCs w:val="28"/>
          <w:lang w:eastAsia="uk-UA"/>
        </w:rPr>
        <w:t xml:space="preserve">Конфіденційна інформація </w:t>
      </w:r>
      <w:r w:rsidR="00D7095E">
        <w:rPr>
          <w:bCs/>
          <w:color w:val="000000"/>
          <w:sz w:val="28"/>
          <w:szCs w:val="28"/>
          <w:lang w:eastAsia="uk-UA"/>
        </w:rPr>
        <w:t>–</w:t>
      </w:r>
      <w:r w:rsidR="00D7095E" w:rsidRPr="00D7095E">
        <w:rPr>
          <w:bCs/>
          <w:color w:val="000000"/>
          <w:sz w:val="28"/>
          <w:szCs w:val="28"/>
          <w:lang w:eastAsia="uk-UA"/>
        </w:rPr>
        <w:t xml:space="preserve"> </w:t>
      </w:r>
      <w:r w:rsidRPr="00D7095E">
        <w:rPr>
          <w:bCs/>
          <w:color w:val="000000"/>
          <w:sz w:val="28"/>
          <w:szCs w:val="28"/>
          <w:lang w:eastAsia="uk-UA"/>
        </w:rPr>
        <w:t>це відомості, які:</w:t>
      </w:r>
    </w:p>
    <w:p w:rsidR="00373A70" w:rsidRPr="00D7095E" w:rsidRDefault="00373A70" w:rsidP="00D7095E">
      <w:pPr>
        <w:pStyle w:val="a6"/>
        <w:widowControl/>
        <w:numPr>
          <w:ilvl w:val="0"/>
          <w:numId w:val="7"/>
        </w:numPr>
        <w:spacing w:line="360" w:lineRule="auto"/>
        <w:ind w:left="0" w:firstLine="709"/>
        <w:rPr>
          <w:color w:val="000000"/>
          <w:szCs w:val="28"/>
        </w:rPr>
      </w:pPr>
      <w:r w:rsidRPr="00D7095E">
        <w:rPr>
          <w:color w:val="000000"/>
          <w:szCs w:val="28"/>
          <w:lang w:eastAsia="uk-UA"/>
        </w:rPr>
        <w:t>знаходяться у володінні, користуванні або розпорядженні особи</w:t>
      </w:r>
    </w:p>
    <w:p w:rsidR="00373A70" w:rsidRPr="00D7095E" w:rsidRDefault="00373A70" w:rsidP="00D7095E">
      <w:pPr>
        <w:pStyle w:val="a6"/>
        <w:widowControl/>
        <w:numPr>
          <w:ilvl w:val="0"/>
          <w:numId w:val="7"/>
        </w:numPr>
        <w:spacing w:line="360" w:lineRule="auto"/>
        <w:ind w:left="0" w:firstLine="709"/>
        <w:rPr>
          <w:color w:val="000000"/>
          <w:szCs w:val="28"/>
        </w:rPr>
      </w:pPr>
      <w:r w:rsidRPr="00D7095E">
        <w:rPr>
          <w:color w:val="000000"/>
          <w:szCs w:val="28"/>
          <w:lang w:eastAsia="uk-UA"/>
        </w:rPr>
        <w:t>розповсюджуються за її бажанням і</w:t>
      </w:r>
    </w:p>
    <w:p w:rsidR="00373A70" w:rsidRPr="00D7095E" w:rsidRDefault="00373A70" w:rsidP="00D7095E">
      <w:pPr>
        <w:pStyle w:val="a6"/>
        <w:widowControl/>
        <w:numPr>
          <w:ilvl w:val="0"/>
          <w:numId w:val="7"/>
        </w:numPr>
        <w:spacing w:line="360" w:lineRule="auto"/>
        <w:ind w:left="0" w:firstLine="709"/>
        <w:rPr>
          <w:color w:val="000000"/>
          <w:szCs w:val="28"/>
        </w:rPr>
      </w:pPr>
      <w:r w:rsidRPr="00D7095E">
        <w:rPr>
          <w:color w:val="000000"/>
          <w:szCs w:val="28"/>
          <w:lang w:eastAsia="uk-UA"/>
        </w:rPr>
        <w:t>відповідно до встановлених нею умов і правил.</w:t>
      </w:r>
    </w:p>
    <w:p w:rsidR="00373A70" w:rsidRPr="00D7095E" w:rsidRDefault="00373A70" w:rsidP="00D7095E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D7095E">
        <w:rPr>
          <w:i/>
          <w:iCs/>
          <w:color w:val="000000"/>
          <w:sz w:val="28"/>
          <w:szCs w:val="28"/>
          <w:lang w:eastAsia="uk-UA"/>
        </w:rPr>
        <w:t xml:space="preserve">Таємна інформація </w:t>
      </w:r>
      <w:r w:rsidR="00D7095E">
        <w:rPr>
          <w:bCs/>
          <w:color w:val="000000"/>
          <w:sz w:val="28"/>
          <w:szCs w:val="28"/>
          <w:lang w:eastAsia="uk-UA"/>
        </w:rPr>
        <w:t>–</w:t>
      </w:r>
      <w:r w:rsidR="00D7095E" w:rsidRPr="00D7095E">
        <w:rPr>
          <w:bCs/>
          <w:color w:val="000000"/>
          <w:sz w:val="28"/>
          <w:szCs w:val="28"/>
          <w:lang w:eastAsia="uk-UA"/>
        </w:rPr>
        <w:t xml:space="preserve"> </w:t>
      </w:r>
      <w:r w:rsidRPr="00D7095E">
        <w:rPr>
          <w:bCs/>
          <w:color w:val="000000"/>
          <w:sz w:val="28"/>
          <w:szCs w:val="28"/>
          <w:lang w:eastAsia="uk-UA"/>
        </w:rPr>
        <w:t>це відомості, які:</w:t>
      </w:r>
    </w:p>
    <w:p w:rsidR="00373A70" w:rsidRPr="00D7095E" w:rsidRDefault="00373A70" w:rsidP="00D7095E">
      <w:pPr>
        <w:pStyle w:val="a6"/>
        <w:widowControl/>
        <w:numPr>
          <w:ilvl w:val="0"/>
          <w:numId w:val="8"/>
        </w:numPr>
        <w:spacing w:line="360" w:lineRule="auto"/>
        <w:ind w:left="0" w:firstLine="709"/>
        <w:rPr>
          <w:color w:val="000000"/>
          <w:szCs w:val="28"/>
        </w:rPr>
      </w:pPr>
      <w:r w:rsidRPr="00D7095E">
        <w:rPr>
          <w:color w:val="000000"/>
          <w:szCs w:val="28"/>
          <w:lang w:eastAsia="uk-UA"/>
        </w:rPr>
        <w:t>складають державну і іншу передбачену законом таємницю і</w:t>
      </w:r>
    </w:p>
    <w:p w:rsidR="00373A70" w:rsidRPr="00D7095E" w:rsidRDefault="00373A70" w:rsidP="00D7095E">
      <w:pPr>
        <w:pStyle w:val="a6"/>
        <w:widowControl/>
        <w:numPr>
          <w:ilvl w:val="0"/>
          <w:numId w:val="8"/>
        </w:numPr>
        <w:spacing w:line="360" w:lineRule="auto"/>
        <w:ind w:left="0" w:firstLine="709"/>
        <w:rPr>
          <w:color w:val="000000"/>
          <w:szCs w:val="28"/>
        </w:rPr>
      </w:pPr>
      <w:r w:rsidRPr="00D7095E">
        <w:rPr>
          <w:color w:val="000000"/>
          <w:szCs w:val="28"/>
          <w:lang w:eastAsia="uk-UA"/>
        </w:rPr>
        <w:t>їх розголошування наносить шкода особі, суспільству, державі.</w:t>
      </w:r>
    </w:p>
    <w:p w:rsidR="00373A70" w:rsidRPr="00D7095E" w:rsidRDefault="00373A70" w:rsidP="00D7095E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D7095E">
        <w:rPr>
          <w:bCs/>
          <w:color w:val="000000"/>
          <w:sz w:val="28"/>
          <w:szCs w:val="28"/>
          <w:lang w:eastAsia="uk-UA"/>
        </w:rPr>
        <w:t>Чинним законодавством встановлена кримінальна і адміністративна відповідальність за розголошування комерційної таємниці і конфіденційної інформації. Крім того, суспільствам надана можливість притягати посадових осіб до відповідальності, передбаченої засновницькими документами товариства.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ГКЦБФР ведеться інформації від емітентів цінних паперів (таблиця 1).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73A70" w:rsidRPr="00D7095E" w:rsidRDefault="001044FB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373A70" w:rsidRPr="00D7095E">
        <w:rPr>
          <w:color w:val="000000"/>
          <w:sz w:val="28"/>
          <w:szCs w:val="28"/>
          <w:lang w:val="uk-UA"/>
        </w:rPr>
        <w:t>Таблиця 1</w:t>
      </w:r>
      <w:r>
        <w:rPr>
          <w:color w:val="000000"/>
          <w:sz w:val="28"/>
          <w:szCs w:val="28"/>
          <w:lang w:val="uk-UA"/>
        </w:rPr>
        <w:t xml:space="preserve">. </w:t>
      </w:r>
      <w:r w:rsidR="00373A70" w:rsidRPr="00D7095E">
        <w:rPr>
          <w:color w:val="000000"/>
          <w:sz w:val="28"/>
          <w:szCs w:val="28"/>
          <w:lang w:val="uk-UA"/>
        </w:rPr>
        <w:t>Види отриманих Комісією інформацій від емітентів цінних паперів у 2001</w:t>
      </w:r>
      <w:r w:rsidR="00D7095E">
        <w:rPr>
          <w:color w:val="000000"/>
          <w:sz w:val="28"/>
          <w:szCs w:val="28"/>
          <w:lang w:val="uk-UA"/>
        </w:rPr>
        <w:t>–</w:t>
      </w:r>
      <w:r w:rsidR="00D7095E" w:rsidRPr="00D7095E">
        <w:rPr>
          <w:color w:val="000000"/>
          <w:sz w:val="28"/>
          <w:szCs w:val="28"/>
          <w:lang w:val="uk-UA"/>
        </w:rPr>
        <w:t>2</w:t>
      </w:r>
      <w:r w:rsidR="00373A70" w:rsidRPr="00D7095E">
        <w:rPr>
          <w:color w:val="000000"/>
          <w:sz w:val="28"/>
          <w:szCs w:val="28"/>
          <w:lang w:val="uk-UA"/>
        </w:rPr>
        <w:t>009 рр.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451"/>
        <w:gridCol w:w="905"/>
        <w:gridCol w:w="906"/>
        <w:gridCol w:w="805"/>
        <w:gridCol w:w="906"/>
        <w:gridCol w:w="906"/>
        <w:gridCol w:w="805"/>
        <w:gridCol w:w="906"/>
        <w:gridCol w:w="906"/>
        <w:gridCol w:w="801"/>
      </w:tblGrid>
      <w:tr w:rsidR="00D7095E" w:rsidRPr="003B1B58" w:rsidTr="003B1B58">
        <w:trPr>
          <w:cantSplit/>
          <w:jc w:val="center"/>
        </w:trPr>
        <w:tc>
          <w:tcPr>
            <w:tcW w:w="781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Період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2001 рік</w:t>
            </w:r>
          </w:p>
        </w:tc>
        <w:tc>
          <w:tcPr>
            <w:tcW w:w="487" w:type="pct"/>
            <w:shd w:val="clear" w:color="auto" w:fill="auto"/>
          </w:tcPr>
          <w:p w:rsidR="00D7095E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2002</w:t>
            </w:r>
          </w:p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рік</w:t>
            </w:r>
          </w:p>
        </w:tc>
        <w:tc>
          <w:tcPr>
            <w:tcW w:w="433" w:type="pct"/>
            <w:shd w:val="clear" w:color="auto" w:fill="auto"/>
          </w:tcPr>
          <w:p w:rsidR="00D7095E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2003</w:t>
            </w:r>
          </w:p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рік</w:t>
            </w:r>
          </w:p>
        </w:tc>
        <w:tc>
          <w:tcPr>
            <w:tcW w:w="487" w:type="pct"/>
            <w:shd w:val="clear" w:color="auto" w:fill="auto"/>
          </w:tcPr>
          <w:p w:rsidR="00D7095E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2004</w:t>
            </w:r>
          </w:p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рік</w:t>
            </w:r>
          </w:p>
        </w:tc>
        <w:tc>
          <w:tcPr>
            <w:tcW w:w="487" w:type="pct"/>
            <w:shd w:val="clear" w:color="auto" w:fill="auto"/>
          </w:tcPr>
          <w:p w:rsidR="00D7095E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2005</w:t>
            </w:r>
          </w:p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рік</w:t>
            </w:r>
          </w:p>
        </w:tc>
        <w:tc>
          <w:tcPr>
            <w:tcW w:w="433" w:type="pct"/>
            <w:shd w:val="clear" w:color="auto" w:fill="auto"/>
          </w:tcPr>
          <w:p w:rsidR="00D7095E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2006</w:t>
            </w:r>
          </w:p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рік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2007</w:t>
            </w:r>
          </w:p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рік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2008</w:t>
            </w:r>
          </w:p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рік</w:t>
            </w:r>
          </w:p>
        </w:tc>
        <w:tc>
          <w:tcPr>
            <w:tcW w:w="433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2009</w:t>
            </w:r>
          </w:p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b/>
                <w:color w:val="000000"/>
                <w:sz w:val="20"/>
                <w:szCs w:val="28"/>
                <w:lang w:val="uk-UA"/>
              </w:rPr>
              <w:t>рік</w:t>
            </w:r>
          </w:p>
        </w:tc>
      </w:tr>
      <w:tr w:rsidR="00D7095E" w:rsidRPr="003B1B58" w:rsidTr="003B1B58">
        <w:trPr>
          <w:cantSplit/>
          <w:trHeight w:val="1134"/>
          <w:jc w:val="center"/>
        </w:trPr>
        <w:tc>
          <w:tcPr>
            <w:tcW w:w="781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i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i/>
                <w:color w:val="000000"/>
                <w:sz w:val="20"/>
                <w:szCs w:val="28"/>
                <w:lang w:val="uk-UA"/>
              </w:rPr>
              <w:t>Регулярна інформація ВАТ та емітентів облігацій (за попередній рік)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5788 емітентів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7500 емітентів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9218 емітентів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8785 емітентів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9231 емітентів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9035 емітентів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7596 емітентів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7587 емітентів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7366 емітентів</w:t>
            </w:r>
          </w:p>
        </w:tc>
      </w:tr>
      <w:tr w:rsidR="00D7095E" w:rsidRPr="003B1B58" w:rsidTr="003B1B58">
        <w:trPr>
          <w:cantSplit/>
          <w:trHeight w:val="1883"/>
          <w:jc w:val="center"/>
        </w:trPr>
        <w:tc>
          <w:tcPr>
            <w:tcW w:w="781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i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i/>
                <w:color w:val="000000"/>
                <w:sz w:val="20"/>
                <w:szCs w:val="28"/>
                <w:lang w:val="uk-UA"/>
              </w:rPr>
              <w:t>Особлива інформація ВАТ та емітентів облігацій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236 повідомлень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2771 повідомлень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8530 повідомлень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4884 повідомлень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3021 повідомлень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b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4397 повідомлень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4571 повідомлень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5143 повідомлень</w:t>
            </w:r>
          </w:p>
        </w:tc>
      </w:tr>
      <w:tr w:rsidR="00D7095E" w:rsidRPr="003B1B58" w:rsidTr="003B1B58">
        <w:trPr>
          <w:cantSplit/>
          <w:trHeight w:val="1134"/>
          <w:jc w:val="center"/>
        </w:trPr>
        <w:tc>
          <w:tcPr>
            <w:tcW w:w="781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i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i/>
                <w:color w:val="000000"/>
                <w:sz w:val="20"/>
                <w:szCs w:val="28"/>
                <w:lang w:val="uk-UA"/>
              </w:rPr>
              <w:t>Регулярна інформація ЗАТ (за попередній рік)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6713 емітентів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6619 емітентів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6734 емітентів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6837 емітентів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7041 емітентів</w:t>
            </w:r>
          </w:p>
        </w:tc>
      </w:tr>
      <w:tr w:rsidR="00D7095E" w:rsidRPr="003B1B58" w:rsidTr="003B1B58">
        <w:trPr>
          <w:cantSplit/>
          <w:trHeight w:val="1134"/>
          <w:jc w:val="center"/>
        </w:trPr>
        <w:tc>
          <w:tcPr>
            <w:tcW w:w="781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i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i/>
                <w:color w:val="000000"/>
                <w:sz w:val="20"/>
                <w:szCs w:val="28"/>
                <w:lang w:val="uk-UA"/>
              </w:rPr>
              <w:t>Квартальна інформація АТ з держ. Часткою більше 1</w:t>
            </w:r>
            <w:r w:rsidR="00D7095E" w:rsidRPr="003B1B58">
              <w:rPr>
                <w:i/>
                <w:color w:val="000000"/>
                <w:sz w:val="20"/>
                <w:szCs w:val="28"/>
                <w:lang w:val="uk-UA"/>
              </w:rPr>
              <w:t>0%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570 емітентів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6444 емітентів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3318 емітентів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3379 емітентів</w:t>
            </w:r>
          </w:p>
        </w:tc>
        <w:tc>
          <w:tcPr>
            <w:tcW w:w="487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3424 емітентів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2680 емітентів</w:t>
            </w:r>
          </w:p>
        </w:tc>
      </w:tr>
      <w:tr w:rsidR="00D7095E" w:rsidRPr="003B1B58" w:rsidTr="003B1B58">
        <w:trPr>
          <w:cantSplit/>
          <w:trHeight w:val="1134"/>
          <w:jc w:val="center"/>
        </w:trPr>
        <w:tc>
          <w:tcPr>
            <w:tcW w:w="781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i/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i/>
                <w:color w:val="000000"/>
                <w:sz w:val="20"/>
                <w:szCs w:val="28"/>
                <w:lang w:val="uk-UA"/>
              </w:rPr>
              <w:t>Інформація про зміну реєстратора власників іменних цінних паперів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33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87" w:type="pct"/>
            <w:shd w:val="clear" w:color="auto" w:fill="auto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-</w:t>
            </w:r>
          </w:p>
        </w:tc>
        <w:tc>
          <w:tcPr>
            <w:tcW w:w="433" w:type="pct"/>
            <w:shd w:val="clear" w:color="auto" w:fill="auto"/>
            <w:textDirection w:val="btLr"/>
          </w:tcPr>
          <w:p w:rsidR="00373A70" w:rsidRPr="003B1B58" w:rsidRDefault="00373A70" w:rsidP="003B1B58">
            <w:pPr>
              <w:spacing w:before="0" w:after="0" w:line="360" w:lineRule="auto"/>
              <w:jc w:val="both"/>
              <w:rPr>
                <w:color w:val="000000"/>
                <w:sz w:val="20"/>
                <w:szCs w:val="28"/>
                <w:lang w:val="uk-UA"/>
              </w:rPr>
            </w:pPr>
            <w:r w:rsidRPr="003B1B58">
              <w:rPr>
                <w:color w:val="000000"/>
                <w:sz w:val="20"/>
                <w:szCs w:val="28"/>
                <w:lang w:val="uk-UA"/>
              </w:rPr>
              <w:t>375 повідомлень</w:t>
            </w:r>
          </w:p>
        </w:tc>
      </w:tr>
    </w:tbl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Комісією постійно продовжувалася робота з розвитку та удосконаленню системи розкриття інформації на фондовому ринку України.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 xml:space="preserve">З метою реалізації вимог розділу </w:t>
      </w:r>
      <w:r w:rsidRPr="00D7095E">
        <w:rPr>
          <w:color w:val="000000"/>
          <w:sz w:val="28"/>
          <w:szCs w:val="28"/>
          <w:lang w:val="en-US"/>
        </w:rPr>
        <w:t>V</w:t>
      </w:r>
      <w:r w:rsidRPr="00D7095E">
        <w:rPr>
          <w:color w:val="000000"/>
          <w:sz w:val="28"/>
          <w:szCs w:val="28"/>
          <w:lang w:val="uk-UA"/>
        </w:rPr>
        <w:t xml:space="preserve"> Закону України </w:t>
      </w:r>
      <w:r w:rsidR="00D7095E">
        <w:rPr>
          <w:color w:val="000000"/>
          <w:sz w:val="28"/>
          <w:szCs w:val="28"/>
          <w:lang w:val="uk-UA"/>
        </w:rPr>
        <w:t>«</w:t>
      </w:r>
      <w:r w:rsidRPr="00D7095E">
        <w:rPr>
          <w:color w:val="000000"/>
          <w:sz w:val="28"/>
          <w:szCs w:val="28"/>
          <w:lang w:val="uk-UA"/>
        </w:rPr>
        <w:t>Про цінні папери та фондовий ринок</w:t>
      </w:r>
      <w:r w:rsidR="00D7095E">
        <w:rPr>
          <w:color w:val="000000"/>
          <w:sz w:val="28"/>
          <w:szCs w:val="28"/>
          <w:lang w:val="uk-UA"/>
        </w:rPr>
        <w:t>»</w:t>
      </w:r>
      <w:r w:rsidRPr="00D7095E">
        <w:rPr>
          <w:color w:val="000000"/>
          <w:sz w:val="28"/>
          <w:szCs w:val="28"/>
          <w:lang w:val="uk-UA"/>
        </w:rPr>
        <w:t xml:space="preserve">, положень Концепції прийнято рішення Комісії від 19.12.2006 року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1</w:t>
      </w:r>
      <w:r w:rsidRPr="00D7095E">
        <w:rPr>
          <w:color w:val="000000"/>
          <w:sz w:val="28"/>
          <w:szCs w:val="28"/>
          <w:lang w:val="uk-UA"/>
        </w:rPr>
        <w:t xml:space="preserve">591 </w:t>
      </w:r>
      <w:r w:rsidR="00D7095E">
        <w:rPr>
          <w:color w:val="000000"/>
          <w:sz w:val="28"/>
          <w:szCs w:val="28"/>
          <w:lang w:val="uk-UA"/>
        </w:rPr>
        <w:t>«</w:t>
      </w:r>
      <w:r w:rsidRPr="00D7095E">
        <w:rPr>
          <w:color w:val="000000"/>
          <w:sz w:val="28"/>
          <w:szCs w:val="28"/>
          <w:lang w:val="uk-UA"/>
        </w:rPr>
        <w:t>Про затвердження Положення про розкриття інформації емітентами цінних паперів</w:t>
      </w:r>
      <w:r w:rsidR="00D7095E">
        <w:rPr>
          <w:color w:val="000000"/>
          <w:sz w:val="28"/>
          <w:szCs w:val="28"/>
          <w:lang w:val="uk-UA"/>
        </w:rPr>
        <w:t>»</w:t>
      </w:r>
      <w:r w:rsidRPr="00D7095E">
        <w:rPr>
          <w:color w:val="000000"/>
          <w:sz w:val="28"/>
          <w:szCs w:val="28"/>
          <w:lang w:val="uk-UA"/>
        </w:rPr>
        <w:t>, зареєстроване в Міністерстві юстиції України 05.02.2007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за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9</w:t>
      </w:r>
      <w:r w:rsidRPr="00D7095E">
        <w:rPr>
          <w:color w:val="000000"/>
          <w:sz w:val="28"/>
          <w:szCs w:val="28"/>
          <w:lang w:val="uk-UA"/>
        </w:rPr>
        <w:t>7/13364.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Положення про розкриття інформації емітентами цінних паперів поширюється на всіх емітентів цінних паперів, крім емітентів державних цінних паперів, крім емітентів державних цінних паперів та емітентів інвестиційних сертифікатів.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Положенням встановлено строки, порядок та форми подання регулярної (річної та квартальної) та особливої інформації про емітента, передбачено способи, строки розкриття кожного із видів та обсягів інформації тощо.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Для реалізації норм Положення про розкриття інформації емітентами цінних паперів (рішення Комісії від 19.12.2006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1</w:t>
      </w:r>
      <w:r w:rsidRPr="00D7095E">
        <w:rPr>
          <w:color w:val="000000"/>
          <w:sz w:val="28"/>
          <w:szCs w:val="28"/>
          <w:lang w:val="uk-UA"/>
        </w:rPr>
        <w:t>591) затверджено Положення щодо порядку взаємодії осіб, що зобов’язані розкривати інформацію на фондовому ринку, з особою, уповноваженою комісією цінних паперів та фондового ринку на розміщення інформації в загальнодоступній інформаційній базі даних Державної комісії з цінних паперів та фондового ринку про ринок цінних паперів, прийняте Комісією від 21.12.206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1</w:t>
      </w:r>
      <w:r w:rsidRPr="00D7095E">
        <w:rPr>
          <w:color w:val="000000"/>
          <w:sz w:val="28"/>
          <w:szCs w:val="28"/>
          <w:lang w:val="uk-UA"/>
        </w:rPr>
        <w:t>658, зареєстроване в Міністерстві юстиції України 05.02.2007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за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9</w:t>
      </w:r>
      <w:r w:rsidRPr="00D7095E">
        <w:rPr>
          <w:color w:val="000000"/>
          <w:sz w:val="28"/>
          <w:szCs w:val="28"/>
          <w:lang w:val="uk-UA"/>
        </w:rPr>
        <w:t>5/13362.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Метою цього Положення є регулювання взаємодії осіб, що зобов’язані розкривати інформацію на фондовому ринку, з особою, уповноваженою Комісією про ринок цінних паперів, що передбачається Положенням про розкриття інформації емітентами цінних паперів і виникненням у ряду осіб обов’язку оприлюднювати інформацію на фондовому ринку шляхом розміщення інформації у загальнодоступній інформаційній базі даних Комісії.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Положення встановлює процедуру надання інформації для розміщення у загальнодоступній інформаційній базі даних Комісії про ринок цінних паперів, порядок такого розміщення та обов’язки емітентів, пов’язані з розміщенням інформації у загальнодоступній інформаційній базі даних Комісії про ринок цінних паперів.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У вищезазначених нормативних актах реалізовано основну частину завдань Концепції щодо створення загальнодоступної інформаційної бази даних Комісії про ринок цінних паперів, передбаченої ст.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3</w:t>
      </w:r>
      <w:r w:rsidRPr="00D7095E">
        <w:rPr>
          <w:color w:val="000000"/>
          <w:sz w:val="28"/>
          <w:szCs w:val="28"/>
          <w:lang w:val="uk-UA"/>
        </w:rPr>
        <w:t>9</w:t>
      </w:r>
      <w:r w:rsidR="00D7095E">
        <w:rPr>
          <w:color w:val="000000"/>
          <w:sz w:val="28"/>
          <w:szCs w:val="28"/>
          <w:lang w:val="uk-UA"/>
        </w:rPr>
        <w:t>–</w:t>
      </w:r>
      <w:r w:rsidR="00D7095E" w:rsidRPr="00D7095E">
        <w:rPr>
          <w:color w:val="000000"/>
          <w:sz w:val="28"/>
          <w:szCs w:val="28"/>
          <w:lang w:val="uk-UA"/>
        </w:rPr>
        <w:t>4</w:t>
      </w:r>
      <w:r w:rsidRPr="00D7095E">
        <w:rPr>
          <w:color w:val="000000"/>
          <w:sz w:val="28"/>
          <w:szCs w:val="28"/>
          <w:lang w:val="uk-UA"/>
        </w:rPr>
        <w:t xml:space="preserve">1 Закону України </w:t>
      </w:r>
      <w:r w:rsidR="00D7095E">
        <w:rPr>
          <w:color w:val="000000"/>
          <w:sz w:val="28"/>
          <w:szCs w:val="28"/>
          <w:lang w:val="uk-UA"/>
        </w:rPr>
        <w:t>«</w:t>
      </w:r>
      <w:r w:rsidRPr="00D7095E">
        <w:rPr>
          <w:color w:val="000000"/>
          <w:sz w:val="28"/>
          <w:szCs w:val="28"/>
          <w:lang w:val="uk-UA"/>
        </w:rPr>
        <w:t>Про цінні папери та фондовий ринок</w:t>
      </w:r>
      <w:r w:rsidR="00D7095E">
        <w:rPr>
          <w:color w:val="000000"/>
          <w:sz w:val="28"/>
          <w:szCs w:val="28"/>
          <w:lang w:val="uk-UA"/>
        </w:rPr>
        <w:t>»</w:t>
      </w:r>
      <w:r w:rsidRPr="00D7095E">
        <w:rPr>
          <w:color w:val="000000"/>
          <w:sz w:val="28"/>
          <w:szCs w:val="28"/>
          <w:lang w:val="uk-UA"/>
        </w:rPr>
        <w:t xml:space="preserve">, доступ до якої здійснюється через веб – сайт у мережі Інтернет – </w:t>
      </w:r>
      <w:r w:rsidRPr="00670888">
        <w:rPr>
          <w:color w:val="000000"/>
          <w:sz w:val="28"/>
          <w:szCs w:val="28"/>
          <w:lang w:val="en-US"/>
        </w:rPr>
        <w:t>www</w:t>
      </w:r>
      <w:r w:rsidRPr="00670888">
        <w:rPr>
          <w:color w:val="000000"/>
          <w:sz w:val="28"/>
          <w:szCs w:val="28"/>
          <w:lang w:val="uk-UA"/>
        </w:rPr>
        <w:t>.</w:t>
      </w:r>
      <w:r w:rsidRPr="00670888">
        <w:rPr>
          <w:color w:val="000000"/>
          <w:sz w:val="28"/>
          <w:szCs w:val="28"/>
          <w:lang w:val="en-US"/>
        </w:rPr>
        <w:t>stockmarket</w:t>
      </w:r>
      <w:r w:rsidRPr="00670888">
        <w:rPr>
          <w:color w:val="000000"/>
          <w:sz w:val="28"/>
          <w:szCs w:val="28"/>
          <w:lang w:val="uk-UA"/>
        </w:rPr>
        <w:t>.</w:t>
      </w:r>
      <w:r w:rsidRPr="00670888">
        <w:rPr>
          <w:color w:val="000000"/>
          <w:sz w:val="28"/>
          <w:szCs w:val="28"/>
          <w:lang w:val="en-US"/>
        </w:rPr>
        <w:t>gov</w:t>
      </w:r>
      <w:r w:rsidRPr="00670888">
        <w:rPr>
          <w:color w:val="000000"/>
          <w:sz w:val="28"/>
          <w:szCs w:val="28"/>
          <w:lang w:val="uk-UA"/>
        </w:rPr>
        <w:t>.</w:t>
      </w:r>
      <w:r w:rsidRPr="00670888">
        <w:rPr>
          <w:color w:val="000000"/>
          <w:sz w:val="28"/>
          <w:szCs w:val="28"/>
          <w:lang w:val="en-US"/>
        </w:rPr>
        <w:t>ua</w:t>
      </w:r>
      <w:r w:rsidRPr="00D7095E">
        <w:rPr>
          <w:color w:val="000000"/>
          <w:sz w:val="28"/>
          <w:szCs w:val="28"/>
          <w:lang w:val="uk-UA"/>
        </w:rPr>
        <w:t>.</w:t>
      </w:r>
    </w:p>
    <w:p w:rsid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Для забезпечення прав та інтересів інвесторів прийнято рішення Комісії від 26.05.2006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3</w:t>
      </w:r>
      <w:r w:rsidRPr="00D7095E">
        <w:rPr>
          <w:color w:val="000000"/>
          <w:sz w:val="28"/>
          <w:szCs w:val="28"/>
          <w:lang w:val="uk-UA"/>
        </w:rPr>
        <w:t xml:space="preserve">24 </w:t>
      </w:r>
      <w:r w:rsidR="00D7095E">
        <w:rPr>
          <w:color w:val="000000"/>
          <w:sz w:val="28"/>
          <w:szCs w:val="28"/>
          <w:lang w:val="uk-UA"/>
        </w:rPr>
        <w:t>«</w:t>
      </w:r>
      <w:r w:rsidRPr="00D7095E">
        <w:rPr>
          <w:color w:val="000000"/>
          <w:sz w:val="28"/>
          <w:szCs w:val="28"/>
          <w:lang w:val="uk-UA"/>
        </w:rPr>
        <w:t>Про розкриття інформації в загальному повідомлені акціонерного товариства проведення загальних зборів</w:t>
      </w:r>
      <w:r w:rsidR="00D7095E">
        <w:rPr>
          <w:color w:val="000000"/>
          <w:sz w:val="28"/>
          <w:szCs w:val="28"/>
          <w:lang w:val="uk-UA"/>
        </w:rPr>
        <w:t>»</w:t>
      </w:r>
      <w:r w:rsidRPr="00D7095E">
        <w:rPr>
          <w:color w:val="000000"/>
          <w:sz w:val="28"/>
          <w:szCs w:val="28"/>
          <w:lang w:val="uk-UA"/>
        </w:rPr>
        <w:t>, зареєстроване в Міністерстві юстиції України 13.06.2006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за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6</w:t>
      </w:r>
      <w:r w:rsidRPr="00D7095E">
        <w:rPr>
          <w:color w:val="000000"/>
          <w:sz w:val="28"/>
          <w:szCs w:val="28"/>
          <w:lang w:val="uk-UA"/>
        </w:rPr>
        <w:t>98/12572. Рішенням передбачено, що для акціонерних товариств є обов’язковим при публікації повідомлення про проведення загальних зборів акціонерів, до порядку денного яких включено питання затвердження річних результатів діяльності акціонерних товариств, зазначити час і місце проведення зборів, порядок денний та додавати інформацію про основні показники фінансово-господарської діяльності за рекомендованою у рішенні формою.</w:t>
      </w:r>
    </w:p>
    <w:p w:rsid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Для забезпечення прав та інтересів інвесторів прийнято рішення Комісії від 26.05.2006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3</w:t>
      </w:r>
      <w:r w:rsidRPr="00D7095E">
        <w:rPr>
          <w:color w:val="000000"/>
          <w:sz w:val="28"/>
          <w:szCs w:val="28"/>
          <w:lang w:val="uk-UA"/>
        </w:rPr>
        <w:t xml:space="preserve">24 </w:t>
      </w:r>
      <w:r w:rsidR="00D7095E">
        <w:rPr>
          <w:color w:val="000000"/>
          <w:sz w:val="28"/>
          <w:szCs w:val="28"/>
          <w:lang w:val="uk-UA"/>
        </w:rPr>
        <w:t>«</w:t>
      </w:r>
      <w:r w:rsidRPr="00D7095E">
        <w:rPr>
          <w:color w:val="000000"/>
          <w:sz w:val="28"/>
          <w:szCs w:val="28"/>
          <w:lang w:val="uk-UA"/>
        </w:rPr>
        <w:t>Про розкриття інформації в загальному повідомленні акціонерного товариства про проведення загальних зборів</w:t>
      </w:r>
      <w:r w:rsidR="00D7095E">
        <w:rPr>
          <w:color w:val="000000"/>
          <w:sz w:val="28"/>
          <w:szCs w:val="28"/>
          <w:lang w:val="uk-UA"/>
        </w:rPr>
        <w:t>»</w:t>
      </w:r>
      <w:r w:rsidRPr="00D7095E">
        <w:rPr>
          <w:color w:val="000000"/>
          <w:sz w:val="28"/>
          <w:szCs w:val="28"/>
          <w:lang w:val="uk-UA"/>
        </w:rPr>
        <w:t>, зареєстроване в Міністерстві юстиції України 13.06.2006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за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6</w:t>
      </w:r>
      <w:r w:rsidRPr="00D7095E">
        <w:rPr>
          <w:color w:val="000000"/>
          <w:sz w:val="28"/>
          <w:szCs w:val="28"/>
          <w:lang w:val="uk-UA"/>
        </w:rPr>
        <w:t>98/12572. рішенням передбачено, що для акціонерних товариств є обов’язковим при публікації повідомлення про проведення загальних зборів акціонерів, до порядку денного яких включено питання затвердження річних результатів діяльності акціонерних товариств, зазначати час і місце проведення зборів, порядок денний та додавати інформацію про основні показники фінансово-господарської діяльності за рекомендованою у рішенні формою.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Рішенням Державної комісії з цінних паперів та фондового ринку від 19.12.2006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1</w:t>
      </w:r>
      <w:r w:rsidRPr="00D7095E">
        <w:rPr>
          <w:color w:val="000000"/>
          <w:sz w:val="28"/>
          <w:szCs w:val="28"/>
          <w:lang w:val="uk-UA"/>
        </w:rPr>
        <w:t xml:space="preserve">528 </w:t>
      </w:r>
      <w:r w:rsidR="00D7095E">
        <w:rPr>
          <w:color w:val="000000"/>
          <w:sz w:val="28"/>
          <w:szCs w:val="28"/>
          <w:lang w:val="uk-UA"/>
        </w:rPr>
        <w:t>«</w:t>
      </w:r>
      <w:r w:rsidRPr="00D7095E">
        <w:rPr>
          <w:color w:val="000000"/>
          <w:sz w:val="28"/>
          <w:szCs w:val="28"/>
          <w:lang w:val="uk-UA"/>
        </w:rPr>
        <w:t>Про затвердження Положення щодо підготовки аудиторських висновків, які подаються до Державної комісії з цінних паперів та фондового ринку при розкритті інформації емітентами та професійними учасникам фондового ринк</w:t>
      </w:r>
      <w:r w:rsidR="00D7095E" w:rsidRPr="00D7095E">
        <w:rPr>
          <w:color w:val="000000"/>
          <w:sz w:val="28"/>
          <w:szCs w:val="28"/>
          <w:lang w:val="uk-UA"/>
        </w:rPr>
        <w:t>у</w:t>
      </w:r>
      <w:r w:rsidR="00D7095E">
        <w:rPr>
          <w:color w:val="000000"/>
          <w:sz w:val="28"/>
          <w:szCs w:val="28"/>
          <w:lang w:val="uk-UA"/>
        </w:rPr>
        <w:t>»</w:t>
      </w:r>
      <w:r w:rsidR="00D7095E" w:rsidRPr="00D7095E">
        <w:rPr>
          <w:color w:val="000000"/>
          <w:sz w:val="28"/>
          <w:szCs w:val="28"/>
          <w:lang w:val="uk-UA"/>
        </w:rPr>
        <w:t>,</w:t>
      </w:r>
      <w:r w:rsidRPr="00D7095E">
        <w:rPr>
          <w:color w:val="000000"/>
          <w:sz w:val="28"/>
          <w:szCs w:val="28"/>
          <w:lang w:val="uk-UA"/>
        </w:rPr>
        <w:t xml:space="preserve"> встановлено нові вимоги до аудиторського висновку, що подається до Комісії: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у складі регулярної інформації емітента цінних паперів та адміністративних даних професійних учасників фондового ринку;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при отриманні ліцензії на здійснення професійної діяльності на фондовому ринку;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>при реєстрації випуску та проспекту місії цінних паперів.</w:t>
      </w:r>
    </w:p>
    <w:p w:rsid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 xml:space="preserve">З метою виконання вимог Законів України </w:t>
      </w:r>
      <w:r w:rsidR="00D7095E">
        <w:rPr>
          <w:color w:val="000000"/>
          <w:sz w:val="28"/>
          <w:szCs w:val="28"/>
          <w:lang w:val="uk-UA"/>
        </w:rPr>
        <w:t>«</w:t>
      </w:r>
      <w:r w:rsidRPr="00D7095E">
        <w:rPr>
          <w:color w:val="000000"/>
          <w:sz w:val="28"/>
          <w:szCs w:val="28"/>
          <w:lang w:val="uk-UA"/>
        </w:rPr>
        <w:t>Про державне регулювання ринку цінних паперів в Україні</w:t>
      </w:r>
      <w:r w:rsidR="00D7095E">
        <w:rPr>
          <w:color w:val="000000"/>
          <w:sz w:val="28"/>
          <w:szCs w:val="28"/>
          <w:lang w:val="uk-UA"/>
        </w:rPr>
        <w:t>»</w:t>
      </w:r>
      <w:r w:rsidRPr="00D7095E">
        <w:rPr>
          <w:color w:val="000000"/>
          <w:sz w:val="28"/>
          <w:szCs w:val="28"/>
          <w:lang w:val="uk-UA"/>
        </w:rPr>
        <w:t xml:space="preserve"> та </w:t>
      </w:r>
      <w:r w:rsidR="00D7095E">
        <w:rPr>
          <w:color w:val="000000"/>
          <w:sz w:val="28"/>
          <w:szCs w:val="28"/>
          <w:lang w:val="uk-UA"/>
        </w:rPr>
        <w:t>«</w:t>
      </w:r>
      <w:r w:rsidRPr="00D7095E">
        <w:rPr>
          <w:color w:val="000000"/>
          <w:sz w:val="28"/>
          <w:szCs w:val="28"/>
          <w:lang w:val="uk-UA"/>
        </w:rPr>
        <w:t>Про фінансові послуги та державне регулювання ринків фінансових послу</w:t>
      </w:r>
      <w:r w:rsidR="00D7095E" w:rsidRPr="00D7095E">
        <w:rPr>
          <w:color w:val="000000"/>
          <w:sz w:val="28"/>
          <w:szCs w:val="28"/>
          <w:lang w:val="uk-UA"/>
        </w:rPr>
        <w:t>г</w:t>
      </w:r>
      <w:r w:rsidR="00D7095E">
        <w:rPr>
          <w:color w:val="000000"/>
          <w:sz w:val="28"/>
          <w:szCs w:val="28"/>
          <w:lang w:val="uk-UA"/>
        </w:rPr>
        <w:t>»</w:t>
      </w:r>
      <w:r w:rsidR="00D7095E" w:rsidRPr="00D7095E">
        <w:rPr>
          <w:color w:val="000000"/>
          <w:sz w:val="28"/>
          <w:szCs w:val="28"/>
          <w:lang w:val="uk-UA"/>
        </w:rPr>
        <w:t>,</w:t>
      </w:r>
      <w:r w:rsidRPr="00D7095E">
        <w:rPr>
          <w:color w:val="000000"/>
          <w:sz w:val="28"/>
          <w:szCs w:val="28"/>
          <w:lang w:val="uk-UA"/>
        </w:rPr>
        <w:t xml:space="preserve"> рішенням Комісії від 09.11.2006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1</w:t>
      </w:r>
      <w:r w:rsidRPr="00D7095E">
        <w:rPr>
          <w:color w:val="000000"/>
          <w:sz w:val="28"/>
          <w:szCs w:val="28"/>
          <w:lang w:val="uk-UA"/>
        </w:rPr>
        <w:t>271 затверджено Порядок ведення реєстру аудиторів та аудиторських фірм, які можуть проводити аудиторські перевірки фінансових установ, що здійснюють діяльність на ринку цінних паперів, яке зареєстроване в Міністерстві юстиції України 28.11.2006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р</w:t>
      </w:r>
      <w:r w:rsidRPr="00D7095E">
        <w:rPr>
          <w:color w:val="000000"/>
          <w:sz w:val="28"/>
          <w:szCs w:val="28"/>
          <w:lang w:val="uk-UA"/>
        </w:rPr>
        <w:t xml:space="preserve">. за </w:t>
      </w:r>
      <w:r w:rsidR="00D7095E">
        <w:rPr>
          <w:color w:val="000000"/>
          <w:sz w:val="28"/>
          <w:szCs w:val="28"/>
          <w:lang w:val="uk-UA"/>
        </w:rPr>
        <w:t>№</w:t>
      </w:r>
      <w:r w:rsidR="00D7095E" w:rsidRPr="00D7095E">
        <w:rPr>
          <w:color w:val="000000"/>
          <w:sz w:val="28"/>
          <w:szCs w:val="28"/>
          <w:lang w:val="uk-UA"/>
        </w:rPr>
        <w:t>1</w:t>
      </w:r>
      <w:r w:rsidRPr="00D7095E">
        <w:rPr>
          <w:color w:val="000000"/>
          <w:sz w:val="28"/>
          <w:szCs w:val="28"/>
          <w:lang w:val="uk-UA"/>
        </w:rPr>
        <w:t>239/13113.</w:t>
      </w:r>
    </w:p>
    <w:p w:rsidR="00373A70" w:rsidRPr="00D7095E" w:rsidRDefault="00373A70" w:rsidP="00D7095E">
      <w:pPr>
        <w:spacing w:before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 xml:space="preserve">Державна установа </w:t>
      </w:r>
      <w:r w:rsidR="00D7095E">
        <w:rPr>
          <w:color w:val="000000"/>
          <w:sz w:val="28"/>
          <w:szCs w:val="28"/>
          <w:lang w:val="uk-UA"/>
        </w:rPr>
        <w:t>«</w:t>
      </w:r>
      <w:r w:rsidRPr="00D7095E">
        <w:rPr>
          <w:color w:val="000000"/>
          <w:sz w:val="28"/>
          <w:szCs w:val="28"/>
          <w:lang w:val="uk-UA"/>
        </w:rPr>
        <w:t>Агентство з розвитку інфраструктури фондового ринку України</w:t>
      </w:r>
      <w:r w:rsidR="00D7095E">
        <w:rPr>
          <w:color w:val="000000"/>
          <w:sz w:val="28"/>
          <w:szCs w:val="28"/>
          <w:lang w:val="uk-UA"/>
        </w:rPr>
        <w:t>»</w:t>
      </w:r>
      <w:r w:rsidR="00D7095E" w:rsidRPr="00D7095E">
        <w:rPr>
          <w:color w:val="000000"/>
          <w:sz w:val="28"/>
          <w:szCs w:val="28"/>
          <w:lang w:val="uk-UA"/>
        </w:rPr>
        <w:t xml:space="preserve"> </w:t>
      </w:r>
      <w:r w:rsidRPr="00D7095E">
        <w:rPr>
          <w:color w:val="000000"/>
          <w:sz w:val="28"/>
          <w:szCs w:val="28"/>
          <w:lang w:val="uk-UA"/>
        </w:rPr>
        <w:t xml:space="preserve">підтримує веб – сайт </w:t>
      </w:r>
      <w:r w:rsidRPr="00D7095E">
        <w:rPr>
          <w:color w:val="000000"/>
          <w:sz w:val="28"/>
          <w:szCs w:val="28"/>
          <w:lang w:val="en-US"/>
        </w:rPr>
        <w:t>http</w:t>
      </w:r>
      <w:r w:rsidRPr="00D7095E">
        <w:rPr>
          <w:color w:val="000000"/>
          <w:sz w:val="28"/>
          <w:szCs w:val="28"/>
          <w:lang w:val="uk-UA"/>
        </w:rPr>
        <w:t>:/</w:t>
      </w:r>
      <w:r w:rsidRPr="00D7095E">
        <w:rPr>
          <w:color w:val="000000"/>
          <w:sz w:val="28"/>
          <w:szCs w:val="28"/>
          <w:lang w:val="en-US"/>
        </w:rPr>
        <w:t>www</w:t>
      </w:r>
      <w:r w:rsidRPr="00D7095E">
        <w:rPr>
          <w:color w:val="000000"/>
          <w:sz w:val="28"/>
          <w:szCs w:val="28"/>
          <w:lang w:val="uk-UA"/>
        </w:rPr>
        <w:t>.</w:t>
      </w:r>
      <w:r w:rsidRPr="00D7095E">
        <w:rPr>
          <w:color w:val="000000"/>
          <w:sz w:val="28"/>
          <w:szCs w:val="28"/>
          <w:lang w:val="en-US"/>
        </w:rPr>
        <w:t>smida</w:t>
      </w:r>
      <w:r w:rsidRPr="00D7095E">
        <w:rPr>
          <w:color w:val="000000"/>
          <w:sz w:val="28"/>
          <w:szCs w:val="28"/>
          <w:lang w:val="uk-UA"/>
        </w:rPr>
        <w:t>.</w:t>
      </w:r>
      <w:r w:rsidRPr="00D7095E">
        <w:rPr>
          <w:color w:val="000000"/>
          <w:sz w:val="28"/>
          <w:szCs w:val="28"/>
          <w:lang w:val="en-US"/>
        </w:rPr>
        <w:t>gov</w:t>
      </w:r>
      <w:r w:rsidRPr="00D7095E">
        <w:rPr>
          <w:color w:val="000000"/>
          <w:sz w:val="28"/>
          <w:szCs w:val="28"/>
          <w:lang w:val="uk-UA"/>
        </w:rPr>
        <w:t>.</w:t>
      </w:r>
      <w:r w:rsidRPr="00D7095E">
        <w:rPr>
          <w:color w:val="000000"/>
          <w:sz w:val="28"/>
          <w:szCs w:val="28"/>
          <w:lang w:val="en-US"/>
        </w:rPr>
        <w:t>ua</w:t>
      </w:r>
      <w:r w:rsidRPr="00D7095E">
        <w:rPr>
          <w:color w:val="000000"/>
          <w:sz w:val="28"/>
          <w:szCs w:val="28"/>
          <w:lang w:val="uk-UA"/>
        </w:rPr>
        <w:t>, на якому розкривається регулярна інформація відкритих акціонерних товариств, закритих акціонерних товариств та емітенті облігацій, особлива інформація відкритих акціонерних товариств та емітентів облігацій.</w:t>
      </w:r>
    </w:p>
    <w:p w:rsidR="001044FB" w:rsidRDefault="001044FB" w:rsidP="00D7095E">
      <w:pPr>
        <w:pStyle w:val="2"/>
        <w:spacing w:before="0" w:after="0" w:line="360" w:lineRule="auto"/>
        <w:rPr>
          <w:color w:val="000000"/>
          <w:sz w:val="28"/>
          <w:lang w:val="uk-UA"/>
        </w:rPr>
      </w:pPr>
    </w:p>
    <w:p w:rsidR="001044FB" w:rsidRDefault="001044FB" w:rsidP="00D7095E">
      <w:pPr>
        <w:pStyle w:val="2"/>
        <w:spacing w:before="0" w:after="0" w:line="360" w:lineRule="auto"/>
        <w:rPr>
          <w:color w:val="000000"/>
          <w:sz w:val="28"/>
          <w:lang w:val="uk-UA"/>
        </w:rPr>
      </w:pPr>
    </w:p>
    <w:p w:rsidR="00373A70" w:rsidRPr="00D7095E" w:rsidRDefault="001044FB" w:rsidP="00D7095E">
      <w:pPr>
        <w:pStyle w:val="2"/>
        <w:spacing w:before="0" w:after="0" w:line="360" w:lineRule="auto"/>
        <w:rPr>
          <w:color w:val="000000"/>
          <w:sz w:val="28"/>
        </w:rPr>
      </w:pPr>
      <w:r>
        <w:rPr>
          <w:color w:val="000000"/>
          <w:sz w:val="28"/>
          <w:lang w:val="uk-UA"/>
        </w:rPr>
        <w:br w:type="page"/>
      </w:r>
      <w:r w:rsidR="00373A70" w:rsidRPr="00D7095E">
        <w:rPr>
          <w:color w:val="000000"/>
          <w:sz w:val="28"/>
          <w:lang w:val="uk-UA"/>
        </w:rPr>
        <w:t>Література</w:t>
      </w:r>
    </w:p>
    <w:p w:rsidR="00373A70" w:rsidRPr="00D7095E" w:rsidRDefault="00373A70" w:rsidP="00D7095E">
      <w:pPr>
        <w:pStyle w:val="2"/>
        <w:spacing w:before="0" w:after="0" w:line="360" w:lineRule="auto"/>
        <w:rPr>
          <w:color w:val="000000"/>
          <w:sz w:val="28"/>
          <w:lang w:val="uk-UA"/>
        </w:rPr>
      </w:pPr>
    </w:p>
    <w:p w:rsidR="00373A70" w:rsidRPr="00D7095E" w:rsidRDefault="00373A70" w:rsidP="001044FB">
      <w:pPr>
        <w:spacing w:before="0" w:after="0" w:line="360" w:lineRule="auto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 xml:space="preserve">1. </w:t>
      </w:r>
      <w:r w:rsidR="00D7095E" w:rsidRPr="00D7095E">
        <w:rPr>
          <w:color w:val="000000"/>
          <w:sz w:val="28"/>
          <w:szCs w:val="28"/>
          <w:lang w:val="uk-UA"/>
        </w:rPr>
        <w:t>Довгань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Л.</w:t>
      </w:r>
      <w:r w:rsidRPr="00D7095E">
        <w:rPr>
          <w:color w:val="000000"/>
          <w:sz w:val="28"/>
          <w:szCs w:val="28"/>
          <w:lang w:val="uk-UA"/>
        </w:rPr>
        <w:t xml:space="preserve">Є., </w:t>
      </w:r>
      <w:r w:rsidR="00D7095E" w:rsidRPr="00D7095E">
        <w:rPr>
          <w:color w:val="000000"/>
          <w:sz w:val="28"/>
          <w:szCs w:val="28"/>
          <w:lang w:val="uk-UA"/>
        </w:rPr>
        <w:t>Пастухова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В.В.</w:t>
      </w:r>
      <w:r w:rsidRPr="00D7095E">
        <w:rPr>
          <w:color w:val="000000"/>
          <w:sz w:val="28"/>
          <w:szCs w:val="28"/>
          <w:lang w:val="uk-UA"/>
        </w:rPr>
        <w:t xml:space="preserve">, </w:t>
      </w:r>
      <w:r w:rsidR="00D7095E" w:rsidRPr="00D7095E">
        <w:rPr>
          <w:color w:val="000000"/>
          <w:sz w:val="28"/>
          <w:szCs w:val="28"/>
          <w:lang w:val="uk-UA"/>
        </w:rPr>
        <w:t>Савчук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Л.М.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Корпоративне</w:t>
      </w:r>
      <w:r w:rsidRPr="00D7095E">
        <w:rPr>
          <w:color w:val="000000"/>
          <w:sz w:val="28"/>
          <w:szCs w:val="28"/>
          <w:lang w:val="uk-UA"/>
        </w:rPr>
        <w:t xml:space="preserve"> управління. Навчальний посібник. – К.: Кондор, 2007. – 180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с.</w:t>
      </w:r>
    </w:p>
    <w:p w:rsidR="00373A70" w:rsidRPr="00D7095E" w:rsidRDefault="00373A70" w:rsidP="001044FB">
      <w:pPr>
        <w:pStyle w:val="aa"/>
        <w:jc w:val="both"/>
        <w:rPr>
          <w:b w:val="0"/>
          <w:bCs/>
          <w:color w:val="000000"/>
          <w:szCs w:val="28"/>
          <w:lang w:val="uk-UA"/>
        </w:rPr>
      </w:pPr>
      <w:r w:rsidRPr="00D7095E">
        <w:rPr>
          <w:b w:val="0"/>
          <w:bCs/>
          <w:color w:val="000000"/>
          <w:szCs w:val="28"/>
          <w:lang w:val="uk-UA"/>
        </w:rPr>
        <w:t xml:space="preserve">2. Корпоративне управління: Наук.-метод. рек. щодо вивч. дисципліни / </w:t>
      </w:r>
      <w:r w:rsidR="00D7095E" w:rsidRPr="00D7095E">
        <w:rPr>
          <w:b w:val="0"/>
          <w:bCs/>
          <w:color w:val="000000"/>
          <w:szCs w:val="28"/>
          <w:lang w:val="uk-UA"/>
        </w:rPr>
        <w:t>Л.В.</w:t>
      </w:r>
      <w:r w:rsidR="00D7095E">
        <w:rPr>
          <w:b w:val="0"/>
          <w:bCs/>
          <w:color w:val="000000"/>
          <w:szCs w:val="28"/>
          <w:lang w:val="uk-UA"/>
        </w:rPr>
        <w:t> </w:t>
      </w:r>
      <w:r w:rsidR="00D7095E" w:rsidRPr="00D7095E">
        <w:rPr>
          <w:b w:val="0"/>
          <w:bCs/>
          <w:color w:val="000000"/>
          <w:szCs w:val="28"/>
          <w:lang w:val="uk-UA"/>
        </w:rPr>
        <w:t>Балабанова</w:t>
      </w:r>
      <w:r w:rsidRPr="00D7095E">
        <w:rPr>
          <w:b w:val="0"/>
          <w:bCs/>
          <w:color w:val="000000"/>
          <w:szCs w:val="28"/>
          <w:lang w:val="uk-UA"/>
        </w:rPr>
        <w:t xml:space="preserve">, </w:t>
      </w:r>
      <w:r w:rsidR="00D7095E" w:rsidRPr="00D7095E">
        <w:rPr>
          <w:b w:val="0"/>
          <w:bCs/>
          <w:color w:val="000000"/>
          <w:szCs w:val="28"/>
          <w:lang w:val="uk-UA"/>
        </w:rPr>
        <w:t>Л.А.</w:t>
      </w:r>
      <w:r w:rsidR="00D7095E">
        <w:rPr>
          <w:b w:val="0"/>
          <w:bCs/>
          <w:color w:val="000000"/>
          <w:szCs w:val="28"/>
          <w:lang w:val="uk-UA"/>
        </w:rPr>
        <w:t> </w:t>
      </w:r>
      <w:r w:rsidR="00D7095E" w:rsidRPr="00D7095E">
        <w:rPr>
          <w:b w:val="0"/>
          <w:bCs/>
          <w:color w:val="000000"/>
          <w:szCs w:val="28"/>
          <w:lang w:val="uk-UA"/>
        </w:rPr>
        <w:t>Лутай</w:t>
      </w:r>
      <w:r w:rsidRPr="00D7095E">
        <w:rPr>
          <w:b w:val="0"/>
          <w:bCs/>
          <w:color w:val="000000"/>
          <w:szCs w:val="28"/>
          <w:lang w:val="uk-UA"/>
        </w:rPr>
        <w:t xml:space="preserve">, </w:t>
      </w:r>
      <w:r w:rsidR="00D7095E" w:rsidRPr="00D7095E">
        <w:rPr>
          <w:b w:val="0"/>
          <w:bCs/>
          <w:color w:val="000000"/>
          <w:szCs w:val="28"/>
          <w:lang w:val="uk-UA"/>
        </w:rPr>
        <w:t>В.В.</w:t>
      </w:r>
      <w:r w:rsidR="00D7095E">
        <w:rPr>
          <w:b w:val="0"/>
          <w:bCs/>
          <w:color w:val="000000"/>
          <w:szCs w:val="28"/>
          <w:lang w:val="uk-UA"/>
        </w:rPr>
        <w:t> </w:t>
      </w:r>
      <w:r w:rsidR="00D7095E" w:rsidRPr="00D7095E">
        <w:rPr>
          <w:b w:val="0"/>
          <w:bCs/>
          <w:color w:val="000000"/>
          <w:szCs w:val="28"/>
          <w:lang w:val="uk-UA"/>
        </w:rPr>
        <w:t>Лисевич</w:t>
      </w:r>
      <w:r w:rsidRPr="00D7095E">
        <w:rPr>
          <w:b w:val="0"/>
          <w:bCs/>
          <w:color w:val="000000"/>
          <w:szCs w:val="28"/>
          <w:lang w:val="uk-UA"/>
        </w:rPr>
        <w:t xml:space="preserve"> – Донецьк: ДонДУЕТ, 2005.</w:t>
      </w:r>
      <w:r w:rsidR="00D7095E">
        <w:rPr>
          <w:b w:val="0"/>
          <w:bCs/>
          <w:color w:val="000000"/>
          <w:szCs w:val="28"/>
          <w:lang w:val="uk-UA"/>
        </w:rPr>
        <w:t> –</w:t>
      </w:r>
      <w:r w:rsidR="00D7095E" w:rsidRPr="00D7095E">
        <w:rPr>
          <w:b w:val="0"/>
          <w:bCs/>
          <w:color w:val="000000"/>
          <w:szCs w:val="28"/>
          <w:lang w:val="uk-UA"/>
        </w:rPr>
        <w:t xml:space="preserve"> </w:t>
      </w:r>
      <w:r w:rsidRPr="00D7095E">
        <w:rPr>
          <w:b w:val="0"/>
          <w:bCs/>
          <w:color w:val="000000"/>
          <w:szCs w:val="28"/>
          <w:lang w:val="uk-UA"/>
        </w:rPr>
        <w:t>132</w:t>
      </w:r>
      <w:r w:rsidR="00D7095E">
        <w:rPr>
          <w:b w:val="0"/>
          <w:bCs/>
          <w:color w:val="000000"/>
          <w:szCs w:val="28"/>
          <w:lang w:val="uk-UA"/>
        </w:rPr>
        <w:t> </w:t>
      </w:r>
      <w:r w:rsidR="00D7095E" w:rsidRPr="00D7095E">
        <w:rPr>
          <w:b w:val="0"/>
          <w:bCs/>
          <w:color w:val="000000"/>
          <w:szCs w:val="28"/>
          <w:lang w:val="uk-UA"/>
        </w:rPr>
        <w:t>с.</w:t>
      </w:r>
    </w:p>
    <w:p w:rsidR="00373A70" w:rsidRPr="00D7095E" w:rsidRDefault="00373A70" w:rsidP="001044FB">
      <w:pPr>
        <w:spacing w:before="0" w:after="0" w:line="360" w:lineRule="auto"/>
        <w:jc w:val="both"/>
        <w:rPr>
          <w:color w:val="000000"/>
          <w:sz w:val="28"/>
          <w:szCs w:val="28"/>
        </w:rPr>
      </w:pPr>
      <w:r w:rsidRPr="00D7095E">
        <w:rPr>
          <w:color w:val="000000"/>
          <w:sz w:val="28"/>
          <w:szCs w:val="28"/>
          <w:lang w:val="uk-UA"/>
        </w:rPr>
        <w:t>3</w:t>
      </w:r>
      <w:r w:rsidRPr="00D7095E">
        <w:rPr>
          <w:color w:val="000000"/>
          <w:sz w:val="28"/>
          <w:szCs w:val="28"/>
        </w:rPr>
        <w:t xml:space="preserve">. </w:t>
      </w:r>
      <w:r w:rsidR="00D7095E" w:rsidRPr="00D7095E">
        <w:rPr>
          <w:color w:val="000000"/>
          <w:sz w:val="28"/>
          <w:szCs w:val="28"/>
        </w:rPr>
        <w:t>Козаченко</w:t>
      </w:r>
      <w:r w:rsidR="00D7095E">
        <w:rPr>
          <w:color w:val="000000"/>
          <w:sz w:val="28"/>
          <w:szCs w:val="28"/>
        </w:rPr>
        <w:t> </w:t>
      </w:r>
      <w:r w:rsidR="00D7095E" w:rsidRPr="00D7095E">
        <w:rPr>
          <w:color w:val="000000"/>
          <w:sz w:val="28"/>
          <w:szCs w:val="28"/>
        </w:rPr>
        <w:t>А.В.</w:t>
      </w:r>
      <w:r w:rsidRPr="00D7095E">
        <w:rPr>
          <w:color w:val="000000"/>
          <w:sz w:val="28"/>
          <w:szCs w:val="28"/>
        </w:rPr>
        <w:t xml:space="preserve">, </w:t>
      </w:r>
      <w:r w:rsidR="00D7095E" w:rsidRPr="00D7095E">
        <w:rPr>
          <w:color w:val="000000"/>
          <w:sz w:val="28"/>
          <w:szCs w:val="28"/>
        </w:rPr>
        <w:t>Воронкова</w:t>
      </w:r>
      <w:r w:rsidR="00D7095E">
        <w:rPr>
          <w:color w:val="000000"/>
          <w:sz w:val="28"/>
          <w:szCs w:val="28"/>
        </w:rPr>
        <w:t> </w:t>
      </w:r>
      <w:r w:rsidR="00D7095E" w:rsidRPr="00D7095E">
        <w:rPr>
          <w:color w:val="000000"/>
          <w:sz w:val="28"/>
          <w:szCs w:val="28"/>
        </w:rPr>
        <w:t>А.Е.</w:t>
      </w:r>
      <w:r w:rsidR="00D7095E">
        <w:rPr>
          <w:color w:val="000000"/>
          <w:sz w:val="28"/>
          <w:szCs w:val="28"/>
        </w:rPr>
        <w:t> </w:t>
      </w:r>
      <w:r w:rsidR="00D7095E" w:rsidRPr="00D7095E">
        <w:rPr>
          <w:color w:val="000000"/>
          <w:sz w:val="28"/>
          <w:szCs w:val="28"/>
        </w:rPr>
        <w:t>Корпоративне</w:t>
      </w:r>
      <w:r w:rsidRPr="00D7095E">
        <w:rPr>
          <w:color w:val="000000"/>
          <w:sz w:val="28"/>
          <w:szCs w:val="28"/>
        </w:rPr>
        <w:t xml:space="preserve"> керування: Підручник. </w:t>
      </w:r>
      <w:r w:rsidR="00D7095E">
        <w:rPr>
          <w:color w:val="000000"/>
          <w:sz w:val="28"/>
          <w:szCs w:val="28"/>
        </w:rPr>
        <w:t>–</w:t>
      </w:r>
      <w:r w:rsidR="00D7095E" w:rsidRPr="00D7095E">
        <w:rPr>
          <w:color w:val="000000"/>
          <w:sz w:val="28"/>
          <w:szCs w:val="28"/>
        </w:rPr>
        <w:t xml:space="preserve"> </w:t>
      </w:r>
      <w:r w:rsidRPr="00D7095E">
        <w:rPr>
          <w:color w:val="000000"/>
          <w:sz w:val="28"/>
          <w:szCs w:val="28"/>
        </w:rPr>
        <w:t>К.: Либра, 2004. – 368</w:t>
      </w:r>
      <w:r w:rsidR="00D7095E">
        <w:rPr>
          <w:color w:val="000000"/>
          <w:sz w:val="28"/>
          <w:szCs w:val="28"/>
        </w:rPr>
        <w:t> </w:t>
      </w:r>
      <w:r w:rsidR="00D7095E" w:rsidRPr="00D7095E">
        <w:rPr>
          <w:color w:val="000000"/>
          <w:sz w:val="28"/>
          <w:szCs w:val="28"/>
        </w:rPr>
        <w:t>с.</w:t>
      </w:r>
    </w:p>
    <w:p w:rsidR="00373A70" w:rsidRPr="00D7095E" w:rsidRDefault="00373A70" w:rsidP="001044FB">
      <w:pPr>
        <w:autoSpaceDE w:val="0"/>
        <w:autoSpaceDN w:val="0"/>
        <w:adjustRightInd w:val="0"/>
        <w:spacing w:before="0" w:after="0" w:line="360" w:lineRule="auto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 xml:space="preserve">4. Євтушевський В.А., </w:t>
      </w:r>
      <w:r w:rsidR="00D7095E" w:rsidRPr="00D7095E">
        <w:rPr>
          <w:color w:val="000000"/>
          <w:sz w:val="28"/>
          <w:szCs w:val="28"/>
          <w:lang w:val="uk-UA"/>
        </w:rPr>
        <w:t>Ковальська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К.В.</w:t>
      </w:r>
      <w:r w:rsidRPr="00D7095E">
        <w:rPr>
          <w:color w:val="000000"/>
          <w:sz w:val="28"/>
          <w:szCs w:val="28"/>
          <w:lang w:val="uk-UA"/>
        </w:rPr>
        <w:t xml:space="preserve"> Стратегія корпоративного управління – К.: Знання, 2007. -287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с.</w:t>
      </w:r>
    </w:p>
    <w:p w:rsidR="00373A70" w:rsidRPr="00D7095E" w:rsidRDefault="00373A70" w:rsidP="001044FB">
      <w:pPr>
        <w:autoSpaceDE w:val="0"/>
        <w:autoSpaceDN w:val="0"/>
        <w:adjustRightInd w:val="0"/>
        <w:spacing w:before="0" w:after="0" w:line="360" w:lineRule="auto"/>
        <w:jc w:val="both"/>
        <w:rPr>
          <w:color w:val="000000"/>
          <w:sz w:val="28"/>
          <w:szCs w:val="28"/>
          <w:lang w:val="uk-UA"/>
        </w:rPr>
      </w:pPr>
      <w:r w:rsidRPr="00D7095E">
        <w:rPr>
          <w:color w:val="000000"/>
          <w:sz w:val="28"/>
          <w:szCs w:val="28"/>
          <w:lang w:val="uk-UA"/>
        </w:rPr>
        <w:t xml:space="preserve">5. Євтушевський </w:t>
      </w:r>
      <w:r w:rsidR="00D7095E" w:rsidRPr="00D7095E">
        <w:rPr>
          <w:color w:val="000000"/>
          <w:sz w:val="28"/>
          <w:szCs w:val="28"/>
          <w:lang w:val="uk-UA"/>
        </w:rPr>
        <w:t>В.А.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Корпоративне</w:t>
      </w:r>
      <w:r w:rsidRPr="00D7095E">
        <w:rPr>
          <w:color w:val="000000"/>
          <w:sz w:val="28"/>
          <w:szCs w:val="28"/>
          <w:lang w:val="uk-UA"/>
        </w:rPr>
        <w:t xml:space="preserve"> управління. Підручник. – К.: Знання, 2006.</w:t>
      </w:r>
      <w:r w:rsidR="00D7095E">
        <w:rPr>
          <w:color w:val="000000"/>
          <w:sz w:val="28"/>
          <w:szCs w:val="28"/>
          <w:lang w:val="uk-UA"/>
        </w:rPr>
        <w:t> –</w:t>
      </w:r>
      <w:r w:rsidR="00D7095E" w:rsidRPr="00D7095E">
        <w:rPr>
          <w:color w:val="000000"/>
          <w:sz w:val="28"/>
          <w:szCs w:val="28"/>
          <w:lang w:val="uk-UA"/>
        </w:rPr>
        <w:t xml:space="preserve"> </w:t>
      </w:r>
      <w:r w:rsidRPr="00D7095E">
        <w:rPr>
          <w:color w:val="000000"/>
          <w:sz w:val="28"/>
          <w:szCs w:val="28"/>
          <w:lang w:val="uk-UA"/>
        </w:rPr>
        <w:t>406</w:t>
      </w:r>
      <w:r w:rsidR="00D7095E">
        <w:rPr>
          <w:color w:val="000000"/>
          <w:sz w:val="28"/>
          <w:szCs w:val="28"/>
          <w:lang w:val="uk-UA"/>
        </w:rPr>
        <w:t> </w:t>
      </w:r>
      <w:r w:rsidR="00D7095E" w:rsidRPr="00D7095E">
        <w:rPr>
          <w:color w:val="000000"/>
          <w:sz w:val="28"/>
          <w:szCs w:val="28"/>
          <w:lang w:val="uk-UA"/>
        </w:rPr>
        <w:t>с.</w:t>
      </w:r>
      <w:bookmarkStart w:id="0" w:name="_GoBack"/>
      <w:bookmarkEnd w:id="0"/>
    </w:p>
    <w:sectPr w:rsidR="00373A70" w:rsidRPr="00D7095E" w:rsidSect="00D7095E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B58" w:rsidRDefault="003B1B58">
      <w:pPr>
        <w:spacing w:before="0" w:after="0"/>
        <w:rPr>
          <w:sz w:val="22"/>
        </w:rPr>
      </w:pPr>
      <w:r>
        <w:rPr>
          <w:sz w:val="22"/>
        </w:rPr>
        <w:separator/>
      </w:r>
    </w:p>
  </w:endnote>
  <w:endnote w:type="continuationSeparator" w:id="0">
    <w:p w:rsidR="003B1B58" w:rsidRDefault="003B1B58">
      <w:pPr>
        <w:spacing w:before="0" w:after="0"/>
        <w:rPr>
          <w:sz w:val="22"/>
        </w:rPr>
      </w:pPr>
      <w:r>
        <w:rPr>
          <w:sz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B58" w:rsidRDefault="003B1B58">
      <w:pPr>
        <w:spacing w:before="0" w:after="0"/>
        <w:rPr>
          <w:sz w:val="22"/>
        </w:rPr>
      </w:pPr>
      <w:r>
        <w:rPr>
          <w:sz w:val="22"/>
        </w:rPr>
        <w:separator/>
      </w:r>
    </w:p>
  </w:footnote>
  <w:footnote w:type="continuationSeparator" w:id="0">
    <w:p w:rsidR="003B1B58" w:rsidRDefault="003B1B58">
      <w:pPr>
        <w:spacing w:before="0" w:after="0"/>
        <w:rPr>
          <w:sz w:val="22"/>
        </w:rPr>
      </w:pPr>
      <w:r>
        <w:rPr>
          <w:sz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A70" w:rsidRDefault="00373A70" w:rsidP="00373A70">
    <w:pPr>
      <w:pStyle w:val="ad"/>
      <w:framePr w:wrap="around" w:vAnchor="text" w:hAnchor="margin" w:xAlign="right" w:y="1"/>
      <w:rPr>
        <w:rStyle w:val="af"/>
      </w:rPr>
    </w:pPr>
  </w:p>
  <w:p w:rsidR="00373A70" w:rsidRDefault="00373A70" w:rsidP="00373A70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A70" w:rsidRDefault="00670888" w:rsidP="00373A70">
    <w:pPr>
      <w:pStyle w:val="ad"/>
      <w:framePr w:wrap="around" w:vAnchor="text" w:hAnchor="margin" w:xAlign="right" w:y="1"/>
      <w:rPr>
        <w:rStyle w:val="af"/>
      </w:rPr>
    </w:pPr>
    <w:r>
      <w:rPr>
        <w:rStyle w:val="af"/>
        <w:noProof/>
      </w:rPr>
      <w:t>2</w:t>
    </w:r>
  </w:p>
  <w:p w:rsidR="00373A70" w:rsidRDefault="00373A70" w:rsidP="00373A70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39285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6A6F9B"/>
    <w:multiLevelType w:val="singleLevel"/>
    <w:tmpl w:val="178A6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2">
    <w:nsid w:val="1C367885"/>
    <w:multiLevelType w:val="hybridMultilevel"/>
    <w:tmpl w:val="807ED9C2"/>
    <w:lvl w:ilvl="0" w:tplc="D57463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FE31126"/>
    <w:multiLevelType w:val="hybridMultilevel"/>
    <w:tmpl w:val="BECA00B8"/>
    <w:lvl w:ilvl="0" w:tplc="32DC74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123712D"/>
    <w:multiLevelType w:val="hybridMultilevel"/>
    <w:tmpl w:val="3A2C1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2F3CD6"/>
    <w:multiLevelType w:val="singleLevel"/>
    <w:tmpl w:val="178A6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6">
    <w:nsid w:val="41BE5DC0"/>
    <w:multiLevelType w:val="singleLevel"/>
    <w:tmpl w:val="8744E5B0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7">
    <w:nsid w:val="5DD16EE3"/>
    <w:multiLevelType w:val="hybridMultilevel"/>
    <w:tmpl w:val="B61A9F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3D6C19"/>
    <w:multiLevelType w:val="hybridMultilevel"/>
    <w:tmpl w:val="80CC8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7B121D"/>
    <w:multiLevelType w:val="hybridMultilevel"/>
    <w:tmpl w:val="3E8E1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BD6370"/>
    <w:multiLevelType w:val="hybridMultilevel"/>
    <w:tmpl w:val="15329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9"/>
  </w:num>
  <w:num w:numId="7">
    <w:abstractNumId w:val="5"/>
  </w:num>
  <w:num w:numId="8">
    <w:abstractNumId w:val="1"/>
  </w:num>
  <w:num w:numId="9">
    <w:abstractNumId w:val="10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A70"/>
    <w:rsid w:val="00052ABF"/>
    <w:rsid w:val="001044FB"/>
    <w:rsid w:val="002619DA"/>
    <w:rsid w:val="00373A70"/>
    <w:rsid w:val="003B1B58"/>
    <w:rsid w:val="00670888"/>
    <w:rsid w:val="0067617A"/>
    <w:rsid w:val="008A1755"/>
    <w:rsid w:val="00D31D64"/>
    <w:rsid w:val="00D40650"/>
    <w:rsid w:val="00D45E9C"/>
    <w:rsid w:val="00D7095E"/>
    <w:rsid w:val="00ED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70ECC6-75DE-4E2E-9D63-ED4B1D31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A70"/>
    <w:pPr>
      <w:spacing w:before="100" w:after="10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73A70"/>
    <w:pPr>
      <w:autoSpaceDE w:val="0"/>
      <w:autoSpaceDN w:val="0"/>
      <w:spacing w:before="0" w:after="0"/>
      <w:jc w:val="both"/>
    </w:pPr>
    <w:rPr>
      <w:lang w:val="uk-UA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373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Bullet"/>
    <w:basedOn w:val="a"/>
    <w:autoRedefine/>
    <w:uiPriority w:val="99"/>
    <w:rsid w:val="00373A70"/>
    <w:pPr>
      <w:widowControl w:val="0"/>
      <w:spacing w:before="0" w:after="0"/>
      <w:jc w:val="both"/>
    </w:pPr>
    <w:rPr>
      <w:sz w:val="28"/>
      <w:lang w:val="uk-UA"/>
    </w:rPr>
  </w:style>
  <w:style w:type="paragraph" w:styleId="a7">
    <w:name w:val="footer"/>
    <w:basedOn w:val="a"/>
    <w:link w:val="a8"/>
    <w:uiPriority w:val="99"/>
    <w:rsid w:val="00373A70"/>
    <w:pPr>
      <w:tabs>
        <w:tab w:val="center" w:pos="4153"/>
        <w:tab w:val="right" w:pos="8306"/>
      </w:tabs>
      <w:spacing w:before="0" w:after="0"/>
    </w:pPr>
    <w:rPr>
      <w:lang w:val="uk-UA"/>
    </w:rPr>
  </w:style>
  <w:style w:type="character" w:customStyle="1" w:styleId="a8">
    <w:name w:val="Нижній колонтитул Знак"/>
    <w:link w:val="a7"/>
    <w:uiPriority w:val="99"/>
    <w:semiHidden/>
    <w:locked/>
    <w:rPr>
      <w:rFonts w:cs="Times New Roman"/>
      <w:sz w:val="20"/>
      <w:szCs w:val="20"/>
    </w:rPr>
  </w:style>
  <w:style w:type="paragraph" w:customStyle="1" w:styleId="2">
    <w:name w:val="Заголовок_2"/>
    <w:basedOn w:val="a3"/>
    <w:uiPriority w:val="99"/>
    <w:rsid w:val="00373A70"/>
    <w:pPr>
      <w:autoSpaceDE/>
      <w:autoSpaceDN/>
      <w:spacing w:before="120" w:after="360"/>
      <w:ind w:firstLine="709"/>
    </w:pPr>
    <w:rPr>
      <w:b/>
      <w:sz w:val="36"/>
      <w:lang w:val="ru-RU"/>
    </w:rPr>
  </w:style>
  <w:style w:type="paragraph" w:customStyle="1" w:styleId="1">
    <w:name w:val="Нумерация1"/>
    <w:basedOn w:val="a"/>
    <w:uiPriority w:val="99"/>
    <w:rsid w:val="00373A70"/>
    <w:pPr>
      <w:numPr>
        <w:numId w:val="11"/>
      </w:numPr>
      <w:spacing w:before="0" w:after="0" w:line="264" w:lineRule="auto"/>
      <w:jc w:val="both"/>
    </w:pPr>
    <w:rPr>
      <w:sz w:val="28"/>
    </w:rPr>
  </w:style>
  <w:style w:type="paragraph" w:customStyle="1" w:styleId="a9">
    <w:name w:val="Текст_основной"/>
    <w:uiPriority w:val="99"/>
    <w:rsid w:val="00373A70"/>
    <w:pPr>
      <w:spacing w:line="264" w:lineRule="auto"/>
      <w:ind w:firstLine="680"/>
      <w:jc w:val="both"/>
    </w:pPr>
    <w:rPr>
      <w:sz w:val="28"/>
    </w:rPr>
  </w:style>
  <w:style w:type="paragraph" w:styleId="aa">
    <w:name w:val="Title"/>
    <w:basedOn w:val="a"/>
    <w:link w:val="ab"/>
    <w:uiPriority w:val="99"/>
    <w:qFormat/>
    <w:rsid w:val="00373A70"/>
    <w:pPr>
      <w:spacing w:before="0" w:after="0" w:line="360" w:lineRule="auto"/>
      <w:jc w:val="center"/>
    </w:pPr>
    <w:rPr>
      <w:b/>
      <w:sz w:val="28"/>
    </w:rPr>
  </w:style>
  <w:style w:type="character" w:customStyle="1" w:styleId="ab">
    <w:name w:val="Назва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c">
    <w:name w:val="Hyperlink"/>
    <w:uiPriority w:val="99"/>
    <w:rsid w:val="00373A70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373A70"/>
    <w:pPr>
      <w:tabs>
        <w:tab w:val="center" w:pos="4677"/>
        <w:tab w:val="right" w:pos="9355"/>
      </w:tabs>
      <w:spacing w:before="0" w:after="0"/>
    </w:pPr>
    <w:rPr>
      <w:sz w:val="22"/>
    </w:rPr>
  </w:style>
  <w:style w:type="character" w:customStyle="1" w:styleId="ae">
    <w:name w:val="Верхній колонтитул Знак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page number"/>
    <w:uiPriority w:val="99"/>
    <w:rsid w:val="00373A70"/>
    <w:rPr>
      <w:rFonts w:cs="Times New Roman"/>
    </w:rPr>
  </w:style>
  <w:style w:type="table" w:styleId="10">
    <w:name w:val="Table Grid 1"/>
    <w:basedOn w:val="a1"/>
    <w:uiPriority w:val="99"/>
    <w:rsid w:val="00D7095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2693</Words>
  <Characters>15353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регулювання корпоративної діяльності</vt:lpstr>
    </vt:vector>
  </TitlesOfParts>
  <Company>Microsoft</Company>
  <LinksUpToDate>false</LinksUpToDate>
  <CharactersWithSpaces>18010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регулювання корпоративної діяльності</dc:title>
  <dc:subject/>
  <dc:creator>Admin</dc:creator>
  <cp:keywords/>
  <dc:description/>
  <cp:lastModifiedBy>Irina</cp:lastModifiedBy>
  <cp:revision>2</cp:revision>
  <dcterms:created xsi:type="dcterms:W3CDTF">2014-08-08T11:22:00Z</dcterms:created>
  <dcterms:modified xsi:type="dcterms:W3CDTF">2014-08-08T11:22:00Z</dcterms:modified>
</cp:coreProperties>
</file>