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D22" w:rsidRPr="00337DF3" w:rsidRDefault="00D43D22" w:rsidP="00D43D22">
      <w:pPr>
        <w:spacing w:before="120"/>
        <w:jc w:val="center"/>
        <w:rPr>
          <w:b/>
          <w:sz w:val="32"/>
        </w:rPr>
      </w:pPr>
      <w:r w:rsidRPr="00337DF3">
        <w:rPr>
          <w:b/>
          <w:sz w:val="32"/>
        </w:rPr>
        <w:t>Аграрные правоотношения: понятие, виды, особенности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В ходе организации и осуществления сельскохозяйственной деятельности возникают и развиваются земельные, имущественные, трудовые, организационно-управленческие, производственные и иные отношения. С учетом специфики ведения сельского хозяйства эти общественные отношения приобретают особое содержание, что позволяет выделить их в своей совокупности в новый вид общественных отношений - аграрные отношения, которые, в свою очередь, будучи урегулированы нормами права, приобретают характер правовых отношений.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Аграрные правоотношения - правовая форма, выражающая и закрепляющая аграрные общественные отношения как экономическую категорию и как разновидность производственных отношений, складывающихся и развивающихся в процессе организации и ведения сельскохозяйственного производства [10, с.18].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Специфика аграрных правоотношений обусловлена спецификой отрасли сельского хозяйства и определяются следующими особенностями: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а) использование земли не только в качестве территориального базиса, но и основного средства производства, при этом земля не является собственностью сельскохозяйственных товаропроизводителей;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б) использование в качестве средства производства живых организмов;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в) сезонный характер труда в сельском хозяйстве;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г) развитие различных легальных частных форм аграрного предпринимательства наряду с государственными юридическими лицами;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д) разнообразие почвенных, природно-климатических условий оказывает существенное влияние на размещение и специализацию сельскохозяйственных организаций, требует разработки специальных мер по стабилизации рынка сельскохозяйственного сырья и продовольствия и государственной поддержке производителей сельскохозяйственной продукции.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Особенности сельскохозяйственного производства оказывают влияние и на организационно-правовые формы хозяйствования. В аграрном секторе экономики наибольшее распространение получили кооперативная и семейная форма организации производства, не характерные для других отраслей (колхозы, крестьянские (фермерские) хозяйства, личные подсобные хозяйства).</w:t>
      </w:r>
    </w:p>
    <w:p w:rsidR="00D43D22" w:rsidRDefault="00D43D22" w:rsidP="00D43D22">
      <w:pPr>
        <w:spacing w:before="120"/>
        <w:ind w:firstLine="567"/>
        <w:jc w:val="both"/>
      </w:pPr>
      <w:r w:rsidRPr="00337DF3">
        <w:t>Аграрные правоотношения являются комплексными. Это проявляется в том, что они не являются однородными по своему содержанию и характеру, а составляют</w:t>
      </w:r>
      <w:r>
        <w:t xml:space="preserve"> </w:t>
      </w:r>
      <w:r w:rsidRPr="00337DF3">
        <w:t>комплекс земельных, имущественных, управленческих, трудовых и иных отношений, каждое из которых имеет свои особенности, но все они складываются в сфере агропромышленного производства [12, с.94].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Основными элементами аграрных правоотношений являются: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субъекты правоотношения;</w:t>
      </w:r>
      <w:r>
        <w:t xml:space="preserve"> 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объекты правоотношения;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содержание правоотношения;</w:t>
      </w:r>
      <w:r>
        <w:t xml:space="preserve"> 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основания возникновения, изменения или прекращения правоотношений (юридические факты).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Субъектами аграрных правоотношений признаются физические и юридические лица, наделенные правами и обязанностями в сфере производства, переработки и реализации сельскохозяйственной продукции. В качестве субъектов аграрных правоотношений могут выступать не только сельскохозяйственные товаропроизводители, но и государственные органы, различные коммерческие и некоммерческие организации, предприниматели и граждане, подпадающие под действие норм аграрного законодательства.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Объектами аграрных правоотношений являются разнообразные блага, на достижение, использование и охрану которых направлены интересы сторон правоотношения и ради чего они реализуют свои субъективные права и обязанности. Так как аграрные правоотношения не представляют собой единого, однородного правоотношения, разнообразием отличаются и объекты правоотношений в аграрном праве.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В зависимости от конкретного вида аграрных правоотношений, объектом может выступать, например, земля как основное средство производства и пространственный базис. Ее уникальные свойства (плодородие, ограниченность и неперемещаемость) оказывают существенное влияние на правовое положение субъектов, их специализацию и правоспособность.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Объектами аграрных правоотношений могут быть и другие природные ресурсы (леса, водоемы, полезные ископаемые). Одним из характерных объектов аграрных правоотношений являются животные. Примером объектов аграрных правоотношений могут служить также семена, селекционные достижения в области растениеводства и животноводства, трудовая деятельность, социальная сфера села и др.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Содержание аграрных правоотношений составляют права и обязанности его субъектов. Объем прав и обязанностей определяется нормативными правовыми актами и зависит от совокупности общественных отношений, участниками которых они становятся, а также от правового статуса самого субъекта. Так, являясь землепользователями, субъекты аграрных правоотношений имеют право самостоятельно хозяйствовать на земле, право собственности на посевы, посадки сельскохозяйственных культур и насаждений, произведенную сельскохозяйственную продукцию и доходы от ее реализации и многие другие права. Соответственно они наделяются и целым рядом обязанностей: эффективно использовать предоставленные им земельные участки, повышать их плодородие, применять природоохранные технологии производства, своевременно уплачивать земельный налог и др.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В основе классификации аграрных правоотношений могут использоваться различные критерии. Например, в зависимости от объекта можно выделить земельные, трудовые, предпринимательские, финансовые, административные и другие правоотношения. Аграрные правоотношения могут быть классифицированы по видам деятельности, по организационно-правовой форме их участников.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Однако в аграрном праве наибольшее распространение получила классификация аграрных правоотношений в зависимости от сферы, уровня их возникновения применительно к основным субъектам рассматриваемых правоотношений: на внутренние (внутрихозяйственные), возникающие в рамках сельскохозяйственной организации, и внешние, возникающие в результате взаимодействия их с иными участниками аграрных правоотношений в процессе осуществления ими сельскохозяйственной деятельности [10, с. 22]. Данные группы аграрных правоотношений различаются по своему содержанию, субъектному составу, характеру нормативных актов, их регулирующих, методам правового регулирования.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В рамках внутренних аграрных правоотношений возникают земельные, трудовые, имущественные, организационно-управленческие отношения. К внутренним относятся также правоотношения, основанные на членстве в сельскохозяйственном кооперативе, крестьянско-фермерском хозяйстве, личном подсобном хозяйстве граждан, учредительстве и участии в хозяйственных обществах и товариществах.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Важное место среди внутренних аграрных правоотношений занимают трудовые отношения, обладающие существенной спецификой в связи с необходимостью использования в процессе трудовой деятельности земли, живых организмов, ее зависимостью от природно-климатических факторов. Данная специфика проявляется как в сфере организации труда и его оплаты, так и в области соблюдения трудовой дисциплины и охраны труда, правилах по технике безопасности и производственной санитарии. В целом специфика внутренних аграрных правоотношений определяется земельными и трудовыми отношениями, которые тесно взаимосвязаны между собой, вместе с тем основу внутренних аграрных правоотношений составляют имущественные отношения, и, прежде всего, это отношения собственности: по поводу внутрихозяйственного использования объектов этой собственности, имущественные отношения между сельскохозяйственной организацией и ее производственными подразделениями.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Внешние аграрные правоотношения представляют собой совокупность правоотношений, возникающих между сельскохозяйственными организациями и другими субъектами хозяйствования, гражданами и соответствующими органами государственного управления в процессе осуществления сельскохозяйственной деятельности. Внешние отношения регулируются нормами традиционных отраслей права (гражданского, земельного, административного, финансового и др.), а в совокупности и комплексе - нормами аграрного права.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Внешние аграрные правоотношения можно разделить на две группы: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а) участниками являются субъекты хозяйствования;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б) участником аграрного правоотношения выступает государство в лице соответствующих органов управления и должностных лиц.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К внешним аграрным правоотношениям относятся: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1) имущественные отношения, возникающие в процессе реализации права собственности на движимое и недвижимое имущество;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2) договорные отношения, которые являются преобладающей правовой формой осуществления экономических связей между субъектами хозяйствования. При этом можно выделить договоры, которые обусловлены спецификой сельского хозяйства (договор контрактации, договор поставки сельскохозяйственной продукции);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3) налоговые и приравненные к ним отношения, имеющие по своей природе властно-организационный характер;</w:t>
      </w:r>
    </w:p>
    <w:p w:rsidR="00D43D22" w:rsidRPr="00337DF3" w:rsidRDefault="00D43D22" w:rsidP="00D43D22">
      <w:pPr>
        <w:spacing w:before="120"/>
        <w:ind w:firstLine="567"/>
        <w:jc w:val="both"/>
      </w:pPr>
      <w:r w:rsidRPr="00337DF3">
        <w:t>4) отношения, связанные с государственным регулированием сельского хозяйства, реализацией сельскохозяйственной продукции.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D22"/>
    <w:rsid w:val="002561A0"/>
    <w:rsid w:val="00337DF3"/>
    <w:rsid w:val="00427AB5"/>
    <w:rsid w:val="00811DD4"/>
    <w:rsid w:val="00D4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239102-C1BC-4A2D-9271-967C13B0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D2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43D22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7428</Characters>
  <Application>Microsoft Office Word</Application>
  <DocSecurity>0</DocSecurity>
  <Lines>61</Lines>
  <Paragraphs>17</Paragraphs>
  <ScaleCrop>false</ScaleCrop>
  <Company>Home</Company>
  <LinksUpToDate>false</LinksUpToDate>
  <CharactersWithSpaces>8714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Аграрные правоотношения: понятие, виды, особенности</dc:title>
  <dc:subject/>
  <dc:creator>User</dc:creator>
  <cp:keywords/>
  <dc:description/>
  <cp:lastModifiedBy>admin</cp:lastModifiedBy>
  <cp:revision>2</cp:revision>
  <dcterms:created xsi:type="dcterms:W3CDTF">2014-02-20T00:37:00Z</dcterms:created>
  <dcterms:modified xsi:type="dcterms:W3CDTF">2014-02-20T00:37:00Z</dcterms:modified>
</cp:coreProperties>
</file>