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123" w:rsidRPr="00CC1A76" w:rsidRDefault="00EE1123" w:rsidP="00EE1123">
      <w:pPr>
        <w:spacing w:before="120"/>
        <w:jc w:val="center"/>
        <w:rPr>
          <w:b/>
          <w:bCs/>
          <w:sz w:val="32"/>
          <w:szCs w:val="32"/>
        </w:rPr>
      </w:pPr>
      <w:r w:rsidRPr="00CC1A76">
        <w:rPr>
          <w:b/>
          <w:bCs/>
          <w:sz w:val="32"/>
          <w:szCs w:val="32"/>
        </w:rPr>
        <w:t>Социальная политика. Показатели, характеризующие уровень жизни населения</w:t>
      </w:r>
    </w:p>
    <w:p w:rsidR="00EE1123" w:rsidRPr="00265712" w:rsidRDefault="00EE1123" w:rsidP="00EE1123">
      <w:pPr>
        <w:spacing w:before="120"/>
        <w:ind w:firstLine="567"/>
        <w:jc w:val="both"/>
      </w:pPr>
      <w:r w:rsidRPr="00265712">
        <w:t>Социальная политика государства — это комплекс организационных, экономических и других мероприятий по улучшению материального благосостояния, духовному и физическому развитию населения, оказанию поддержки инвалидам и малообеспеченным гражданам.</w:t>
      </w:r>
    </w:p>
    <w:p w:rsidR="00EE1123" w:rsidRPr="00265712" w:rsidRDefault="00EE1123" w:rsidP="00EE1123">
      <w:pPr>
        <w:spacing w:before="120"/>
        <w:ind w:firstLine="567"/>
        <w:jc w:val="both"/>
      </w:pPr>
      <w:r w:rsidRPr="00265712">
        <w:t>Учитывая комплексный и многоплановый характер определения "социальная политика", ее обычно расчленяют на следующие составные части:</w:t>
      </w:r>
    </w:p>
    <w:p w:rsidR="00EE1123" w:rsidRPr="00265712" w:rsidRDefault="00EE1123" w:rsidP="00EE1123">
      <w:pPr>
        <w:spacing w:before="120"/>
        <w:ind w:firstLine="567"/>
        <w:jc w:val="both"/>
      </w:pPr>
      <w:r w:rsidRPr="00265712">
        <w:t>политика доходов населения;</w:t>
      </w:r>
    </w:p>
    <w:p w:rsidR="00EE1123" w:rsidRPr="00265712" w:rsidRDefault="00EE1123" w:rsidP="00EE1123">
      <w:pPr>
        <w:spacing w:before="120"/>
        <w:ind w:firstLine="567"/>
        <w:jc w:val="both"/>
      </w:pPr>
      <w:r w:rsidRPr="00265712">
        <w:t>социальная защита граждан;</w:t>
      </w:r>
    </w:p>
    <w:p w:rsidR="00EE1123" w:rsidRPr="00265712" w:rsidRDefault="00EE1123" w:rsidP="00EE1123">
      <w:pPr>
        <w:spacing w:before="120"/>
        <w:ind w:firstLine="567"/>
        <w:jc w:val="both"/>
      </w:pPr>
      <w:r w:rsidRPr="00265712">
        <w:t>развитие системы здравоохранения, образования, культуры, обеспечения товарами, услугами, условиями проживания;</w:t>
      </w:r>
    </w:p>
    <w:p w:rsidR="00EE1123" w:rsidRPr="00265712" w:rsidRDefault="00EE1123" w:rsidP="00EE1123">
      <w:pPr>
        <w:spacing w:before="120"/>
        <w:ind w:firstLine="567"/>
        <w:jc w:val="both"/>
      </w:pPr>
      <w:r w:rsidRPr="00265712">
        <w:t>молодежная политика.</w:t>
      </w:r>
    </w:p>
    <w:p w:rsidR="00EE1123" w:rsidRPr="00265712" w:rsidRDefault="00EE1123" w:rsidP="00EE1123">
      <w:pPr>
        <w:spacing w:before="120"/>
        <w:ind w:firstLine="567"/>
        <w:jc w:val="both"/>
      </w:pPr>
      <w:r w:rsidRPr="00265712">
        <w:t>Особенно важное место в социальной политике государства занимает выработка и применение наиболее эффективного механизма формирования доходов населения. Главным ее содержанием является создание благоприятных условий, позволяющих экономически активной части населения зарабатывать средства, величина которых состоит из суммы получаемой заработной платы, поступлений от владения собственностью, выплат из общественных фондов потребления и некоторых других. Воздействие на уровень доходов осуществляется через договорные отношения между работниками и работодателями, систему налогообложения, создание условий для роста заработной платы и другие элементы.</w:t>
      </w:r>
    </w:p>
    <w:p w:rsidR="00EE1123" w:rsidRPr="00265712" w:rsidRDefault="00EE1123" w:rsidP="00EE1123">
      <w:pPr>
        <w:spacing w:before="120"/>
        <w:ind w:firstLine="567"/>
        <w:jc w:val="both"/>
      </w:pPr>
      <w:r w:rsidRPr="00265712">
        <w:t>Социальная защита граждан включает оказание материальной и другой поддержки социально уязвимым группам населения (пенсионерам, инвалидам, безработным, многодетным семьям и др.). Важное место в сфере социальной защиты граждан отводится обеспечению занятости населения. [8, c.173-174]</w:t>
      </w:r>
    </w:p>
    <w:p w:rsidR="00EE1123" w:rsidRPr="00265712" w:rsidRDefault="00EE1123" w:rsidP="00EE1123">
      <w:pPr>
        <w:spacing w:before="120"/>
        <w:ind w:firstLine="567"/>
        <w:jc w:val="both"/>
      </w:pPr>
      <w:r w:rsidRPr="00265712">
        <w:t>Социальная политика в области здравоохранения, образования, культуры, обеспечения товарами, услугами, условиями проживания включает перечень различных мер по их дальнейшему развитию, максимальной доступности и охвату населения, в том числе:</w:t>
      </w:r>
    </w:p>
    <w:p w:rsidR="00EE1123" w:rsidRPr="00265712" w:rsidRDefault="00EE1123" w:rsidP="00EE1123">
      <w:pPr>
        <w:spacing w:before="120"/>
        <w:ind w:firstLine="567"/>
        <w:jc w:val="both"/>
      </w:pPr>
      <w:r w:rsidRPr="00265712">
        <w:t>здравоохранение — гарантированное обеспечение установленного объема медицинской помощи в государственных учреждениях здравоохранения, использование дополнительных источников финансирования по мере экономического развития первичной медицинской помощи, укрепление материально-технической базы медицинских учреждений, улучшение обеспечения лекарствами;</w:t>
      </w:r>
    </w:p>
    <w:p w:rsidR="00EE1123" w:rsidRPr="00265712" w:rsidRDefault="00EE1123" w:rsidP="00EE1123">
      <w:pPr>
        <w:spacing w:before="120"/>
        <w:ind w:firstLine="567"/>
        <w:jc w:val="both"/>
      </w:pPr>
      <w:r w:rsidRPr="00265712">
        <w:t>образование — формирование интеллектуального потенциала нации, способного активно влиять на развитие экономики, науки и культуры, создание рациональной сети учебно-воспитательных учреждений, обновление и расширение материально-технической базы, развитие многовариантной системы профессионального образования и др.;</w:t>
      </w:r>
    </w:p>
    <w:p w:rsidR="00EE1123" w:rsidRPr="00265712" w:rsidRDefault="00EE1123" w:rsidP="00EE1123">
      <w:pPr>
        <w:spacing w:before="120"/>
        <w:ind w:firstLine="567"/>
        <w:jc w:val="both"/>
      </w:pPr>
      <w:r w:rsidRPr="00265712">
        <w:t>культура — повышение уровня и качества услуг, предоставляемых учреждениями культуры и искусства, обеспечение их доступности для широких масс населения, укрепление и обновление материально-технической базы и др.</w:t>
      </w:r>
    </w:p>
    <w:p w:rsidR="00EE1123" w:rsidRPr="00265712" w:rsidRDefault="00EE1123" w:rsidP="00EE1123">
      <w:pPr>
        <w:spacing w:before="120"/>
        <w:ind w:firstLine="567"/>
        <w:jc w:val="both"/>
      </w:pPr>
      <w:r w:rsidRPr="00265712">
        <w:t>Соответствующие мероприятия предусматриваются в сферах торговли, жилищного строительства, транспорта, связи, бытового обслуживания, экологии и в других направлениях, связанных с условиями проживания населения.</w:t>
      </w:r>
    </w:p>
    <w:p w:rsidR="00EE1123" w:rsidRPr="00265712" w:rsidRDefault="00EE1123" w:rsidP="00EE1123">
      <w:pPr>
        <w:spacing w:before="120"/>
        <w:ind w:firstLine="567"/>
        <w:jc w:val="both"/>
      </w:pPr>
      <w:r w:rsidRPr="00265712">
        <w:t>Молодежная политика включает вопросы образования, профессиональной подготовки, воспитания, занятости, улучшения жилищных условий, поддержки учащихся и студентов, талантливой молодежи, адаптации вхождения в трудовую деятельность юношей и девушек в возрасте до 30 лет. [8, c. 174-175]</w:t>
      </w:r>
    </w:p>
    <w:p w:rsidR="00EE1123" w:rsidRPr="00265712" w:rsidRDefault="00EE1123" w:rsidP="00EE1123">
      <w:pPr>
        <w:spacing w:before="120"/>
        <w:ind w:firstLine="567"/>
        <w:jc w:val="both"/>
      </w:pPr>
      <w:r w:rsidRPr="00265712">
        <w:t>Результативность социальной политики проявляется в уровне и качестве жизни населения. Уровень жизни — это степень обеспеченности населения материальными и духовными благами исходя из сложившихся потребностей. При этом потребности носят активный характер, служат побудительным мотивом Деятельности человека, их рост вызывает рост уровня жизни.</w:t>
      </w:r>
    </w:p>
    <w:p w:rsidR="00EE1123" w:rsidRPr="00265712" w:rsidRDefault="00EE1123" w:rsidP="00EE1123">
      <w:pPr>
        <w:spacing w:before="120"/>
        <w:ind w:firstLine="567"/>
        <w:jc w:val="both"/>
      </w:pPr>
      <w:r w:rsidRPr="00265712">
        <w:t>Для оценки уровня жизни используются количественные показатели, такие как потребление основных продуктов питания на душу населения, обеспеченность населения промышленными товарами (обычно в расчете на 100 семей), структура потребления, продолжительность рабочего и свободного времени и его структура, величина реальных доходов, развитие социальной сферы и др.</w:t>
      </w:r>
    </w:p>
    <w:p w:rsidR="00EE1123" w:rsidRPr="00265712" w:rsidRDefault="00EE1123" w:rsidP="00EE1123">
      <w:pPr>
        <w:spacing w:before="120"/>
        <w:ind w:firstLine="567"/>
        <w:jc w:val="both"/>
      </w:pPr>
      <w:r w:rsidRPr="00265712">
        <w:t>К обобщающим показателям относятся общий объем потребляемых благ и услуг, распределение населения по Уровню доходов и показатели, характеризующие отдельные стороны жизни людей, например калорийность и биологическая ценность рациона питания. В качестве обобщающего показателя оценки уровня жизни населения, ООН рекомендован индекс человеческого развития (ИЧР), учитывающий следующие компоненты: размер ВВП на душу населения с учетом покупательной способности денежной единицы, продолжительность жизни и уровень образования граждан. [3, c.4-5]</w:t>
      </w:r>
    </w:p>
    <w:p w:rsidR="00EE1123" w:rsidRPr="00265712" w:rsidRDefault="00EE1123" w:rsidP="00EE1123">
      <w:pPr>
        <w:spacing w:before="120"/>
        <w:ind w:firstLine="567"/>
        <w:jc w:val="both"/>
      </w:pPr>
      <w:r w:rsidRPr="00265712">
        <w:t>Для получения реальной картины уровня жизни необходимо иметь определенный стандарт, с которым можно сравнивать фактические данные. Таким стандартом является "потребительская корзина", включающая набор благ и услуг, удовлетворяющий определенный уровень потребления.</w:t>
      </w:r>
    </w:p>
    <w:p w:rsidR="00EE1123" w:rsidRPr="00265712" w:rsidRDefault="00EE1123" w:rsidP="00EE1123">
      <w:pPr>
        <w:spacing w:before="120"/>
        <w:ind w:firstLine="567"/>
        <w:jc w:val="both"/>
      </w:pPr>
      <w:r w:rsidRPr="00265712">
        <w:t>"Минимальная потребительская корзина" рассчитывается для стандартной семьи, состоящей из двух взрослых человек и двух детей школьного возраста, и означает такой минимально допустимый потребительский набор, снижение которого социально неприемлемо. "Минимальная потребительская корзина" по отдельным социально-демографическим группам лежит в основе определения прожиточного минимума. Прожиточный минимум - это размер денежного дохода, который удовлетворяет минимально допустимые потребности. Именно здесь проходит так называемая "черта бедности".</w:t>
      </w:r>
    </w:p>
    <w:p w:rsidR="00EE1123" w:rsidRPr="00265712" w:rsidRDefault="00EE1123" w:rsidP="00EE1123">
      <w:pPr>
        <w:spacing w:before="120"/>
        <w:ind w:firstLine="567"/>
        <w:jc w:val="both"/>
      </w:pPr>
      <w:r w:rsidRPr="00265712">
        <w:t>От минимального уровня потребления следует отличать физиологический минимум потребления, который необходим для физического существования человека.</w:t>
      </w:r>
    </w:p>
    <w:p w:rsidR="00EE1123" w:rsidRDefault="00EE1123" w:rsidP="00EE1123">
      <w:pPr>
        <w:spacing w:before="120"/>
        <w:ind w:firstLine="567"/>
        <w:jc w:val="both"/>
      </w:pPr>
      <w:r w:rsidRPr="00265712">
        <w:t>В отличие от уровня жизни качество жизни оценивать гораздо сложнее, так как качественные показатели с трудом поддаются количественной оценке. К показателям качества жизни относятся условия и безопасность труда, возможности использования свободного времени, состояние экологии, здоровье и физическое развитие граждан и др. Следует отметить, что требования к уровню и качеству жизни и течением времени повышаются, причем они различны в отдельных странах и регионах. Факторами, обусловливающими количественные и качественные показатели результативности социальной политики, являются состояние экономики в стране, политическая ситуация, природно-климатические условия, географическое положение, ложившиеся традиции и культура и др. [3, c.5-6]</w:t>
      </w:r>
    </w:p>
    <w:p w:rsidR="00EE1123" w:rsidRPr="00CC1A76" w:rsidRDefault="00EE1123" w:rsidP="00EE1123">
      <w:pPr>
        <w:spacing w:before="120"/>
        <w:jc w:val="center"/>
        <w:rPr>
          <w:b/>
          <w:bCs/>
          <w:sz w:val="28"/>
          <w:szCs w:val="28"/>
        </w:rPr>
      </w:pPr>
      <w:r w:rsidRPr="00CC1A76">
        <w:rPr>
          <w:b/>
          <w:bCs/>
          <w:sz w:val="28"/>
          <w:szCs w:val="28"/>
        </w:rPr>
        <w:t>Список литературы</w:t>
      </w:r>
    </w:p>
    <w:p w:rsidR="00EE1123" w:rsidRPr="00265712" w:rsidRDefault="00EE1123" w:rsidP="00EE1123">
      <w:pPr>
        <w:spacing w:before="120"/>
        <w:ind w:firstLine="567"/>
        <w:jc w:val="both"/>
      </w:pPr>
      <w:r w:rsidRPr="00265712">
        <w:t>Владимирова Л.П. Прогнозирование и планирование в условиях рынка: Учеб. Пособ. – 3-е изд. – М.: «Дашков и К», 2004. – 400с.</w:t>
      </w:r>
    </w:p>
    <w:p w:rsidR="00EE1123" w:rsidRPr="00265712" w:rsidRDefault="00EE1123" w:rsidP="00EE1123">
      <w:pPr>
        <w:spacing w:before="120"/>
        <w:ind w:firstLine="567"/>
        <w:jc w:val="both"/>
      </w:pPr>
      <w:r w:rsidRPr="00265712">
        <w:t>Егоров В.В., Парсаданов Г.А. Прогнозирование национальной экономики: Учеб. Пособ. – М.: ИНФРА-М, 2001. – 184с.</w:t>
      </w:r>
    </w:p>
    <w:p w:rsidR="00EE1123" w:rsidRPr="00265712" w:rsidRDefault="00EE1123" w:rsidP="00EE1123">
      <w:pPr>
        <w:spacing w:before="120"/>
        <w:ind w:firstLine="567"/>
        <w:jc w:val="both"/>
      </w:pPr>
      <w:r w:rsidRPr="00265712">
        <w:t>Кобяков А.В. Планирование как инструмент реализации социально-экономической политики государства. // Материалы науч. конференции. Минск, 12-13 октября 2000. – Мн.: 2001. – С.3-9</w:t>
      </w:r>
    </w:p>
    <w:p w:rsidR="00EE1123" w:rsidRPr="00265712" w:rsidRDefault="00EE1123" w:rsidP="00EE1123">
      <w:pPr>
        <w:spacing w:before="120"/>
        <w:ind w:firstLine="567"/>
        <w:jc w:val="both"/>
      </w:pPr>
      <w:r w:rsidRPr="00265712">
        <w:t>Лапушинская Г.К., Петров А.Н. Планирование в условиях рынка. – М.: «Дашков и К», 2003. – 250с.</w:t>
      </w:r>
    </w:p>
    <w:p w:rsidR="00EE1123" w:rsidRPr="00265712" w:rsidRDefault="00EE1123" w:rsidP="00EE1123">
      <w:pPr>
        <w:spacing w:before="120"/>
        <w:ind w:firstLine="567"/>
        <w:jc w:val="both"/>
      </w:pPr>
      <w:r w:rsidRPr="00265712">
        <w:t>Мелюшин П.В., Байдак Д.Н. Прогнозирование и планирование в экономике: Курс лекций. – Мн.: Веды, 2004. – 77с.</w:t>
      </w:r>
    </w:p>
    <w:p w:rsidR="00EE1123" w:rsidRPr="00265712" w:rsidRDefault="00EE1123" w:rsidP="00EE1123">
      <w:pPr>
        <w:spacing w:before="120"/>
        <w:ind w:firstLine="567"/>
        <w:jc w:val="both"/>
      </w:pPr>
      <w:r w:rsidRPr="00265712">
        <w:t>Никитенко П.Г. Долгосрочное прогнозирование экономического развития в условиях переходной экономики. // Белорусский экономический журнал. –2001. –№3. –С.4-16.</w:t>
      </w:r>
    </w:p>
    <w:p w:rsidR="00EE1123" w:rsidRPr="00265712" w:rsidRDefault="00EE1123" w:rsidP="00EE1123">
      <w:pPr>
        <w:spacing w:before="120"/>
        <w:ind w:firstLine="567"/>
        <w:jc w:val="both"/>
      </w:pPr>
      <w:r w:rsidRPr="00265712">
        <w:t>Никитенко П.Г. Прогнозирование социально-экономического и научно-технического развития Беларуси. // Общество и экономика. –2001. –№11-12. –С.239-250.</w:t>
      </w:r>
    </w:p>
    <w:p w:rsidR="00EE1123" w:rsidRPr="00265712" w:rsidRDefault="00EE1123" w:rsidP="00EE1123">
      <w:pPr>
        <w:spacing w:before="120"/>
        <w:ind w:firstLine="567"/>
        <w:jc w:val="both"/>
      </w:pPr>
      <w:r w:rsidRPr="00265712">
        <w:t>Прогнозирование и планирование экономики: Учеб. Пособ. / В.И. Борисевич, Г.А. Кандаурова, Н.Н. Кандауров и др.; Под общ. ред. В.И. Борисевича, Г.А. Кандауровой. — Мн.: Интерпрессервис, Экоперспектива, 2001.— 380с.</w:t>
      </w:r>
      <w:r>
        <w:t xml:space="preserve"> </w:t>
      </w:r>
    </w:p>
    <w:p w:rsidR="00EE1123" w:rsidRPr="00265712" w:rsidRDefault="00EE1123" w:rsidP="00EE1123">
      <w:pPr>
        <w:spacing w:before="120"/>
        <w:ind w:firstLine="567"/>
        <w:jc w:val="both"/>
      </w:pPr>
      <w:r w:rsidRPr="00265712">
        <w:t>Симченко Э.Е. Методологические проблемы макроэкономического прогнозирования в транзитивных социально-экономических системах. // Белорусский экономический журнал. –2001. –№2. –С.8-23.</w:t>
      </w:r>
    </w:p>
    <w:p w:rsidR="00EE1123" w:rsidRPr="00265712" w:rsidRDefault="00EE1123" w:rsidP="00EE1123">
      <w:pPr>
        <w:spacing w:before="120"/>
        <w:ind w:firstLine="567"/>
        <w:jc w:val="both"/>
      </w:pPr>
      <w:r w:rsidRPr="00265712">
        <w:t>Шимов В.Н. Система прогнозирования и государственного регулирования социально-экономического развития Республики Беларусь. // Материалы науч. конференции. Минск, 12-13 октября 2000. – Мн.: 2001. – С.10-23.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123"/>
    <w:rsid w:val="00051FB8"/>
    <w:rsid w:val="00095BA6"/>
    <w:rsid w:val="00210DB3"/>
    <w:rsid w:val="00265712"/>
    <w:rsid w:val="0031418A"/>
    <w:rsid w:val="00350B15"/>
    <w:rsid w:val="00377A3D"/>
    <w:rsid w:val="0052086C"/>
    <w:rsid w:val="005A2562"/>
    <w:rsid w:val="005B3906"/>
    <w:rsid w:val="00755964"/>
    <w:rsid w:val="008C19D7"/>
    <w:rsid w:val="00A44D32"/>
    <w:rsid w:val="00CC1A76"/>
    <w:rsid w:val="00E12572"/>
    <w:rsid w:val="00EE1123"/>
    <w:rsid w:val="00F135BF"/>
    <w:rsid w:val="00F33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C66D21-D266-467E-90E1-A10FB37ED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12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1123"/>
    <w:rPr>
      <w:rFonts w:ascii="Arial CYR" w:hAnsi="Arial CYR" w:cs="Arial CYR"/>
      <w:color w:val="444444"/>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Words>
  <Characters>6527</Characters>
  <Application>Microsoft Office Word</Application>
  <DocSecurity>0</DocSecurity>
  <Lines>54</Lines>
  <Paragraphs>15</Paragraphs>
  <ScaleCrop>false</ScaleCrop>
  <Company>Home</Company>
  <LinksUpToDate>false</LinksUpToDate>
  <CharactersWithSpaces>7656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политика</dc:title>
  <dc:subject/>
  <dc:creator>Alena</dc:creator>
  <cp:keywords/>
  <dc:description/>
  <cp:lastModifiedBy>Irina</cp:lastModifiedBy>
  <cp:revision>2</cp:revision>
  <dcterms:created xsi:type="dcterms:W3CDTF">2014-08-07T22:49:00Z</dcterms:created>
  <dcterms:modified xsi:type="dcterms:W3CDTF">2014-08-07T22:49:00Z</dcterms:modified>
</cp:coreProperties>
</file>