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C56" w:rsidRPr="00697C67" w:rsidRDefault="009C1C56" w:rsidP="009C1C56">
      <w:pPr>
        <w:spacing w:before="120"/>
        <w:jc w:val="center"/>
        <w:rPr>
          <w:b/>
          <w:bCs/>
          <w:sz w:val="32"/>
          <w:szCs w:val="32"/>
        </w:rPr>
      </w:pPr>
      <w:r w:rsidRPr="00697C67">
        <w:rPr>
          <w:b/>
          <w:bCs/>
          <w:sz w:val="32"/>
          <w:szCs w:val="32"/>
        </w:rPr>
        <w:t>Выручка, прибыль, их планирование и использование в коммунальном хозяйстве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Коммунальное хозяйство – это самостоятельные организации и предприятия, ремонтно-строительные учреждения, эксплуатационные учреждения, дирекции; транспортные организации, - т.е. организации, которые обеспечивают нормальную эксплуатацию жилищно-коммунального фонда.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Особенности организации финансов коммунального хозяйства: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отношения между эксплуатирующим жилищно-коммунальные фонды и собственником складываются, как правило, в виде аренды или найма;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коммунальное хозяйство осуществляет свою деятельность на основе самоокупаемости;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нет возможности за счет собственных источников осуществлять новое строительство, поэтому оно осуществляется за счет бюджетов соответствующих территориальных единиц;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основываясь на самоокупаемости, не обеспечивается развитие хозяйства за счет самофинансирования (не только восполнение жилищно-коммунального фонда, но и капитальный ремонт, отсутствие которого приводит к потере фонда; не начисляется амортизация на реновацию);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все денежные средства, закрепляемые за коммунальным хозяйством, имеют строго целевое назначение - эксплуатация, содержание, благоустройство жилищно-коммунального фонда;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за каждым хозяйством закреплена определенная территория, жилищно-коммунальный фонд и все доходы от них остаются в распоряжении коммунального хозяйства.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 xml:space="preserve">Затраты предприятий коммунального хозяйства включают: 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 xml:space="preserve">затраты по подготовке, осуществлению и совершенствованию производственной деятельности; 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 xml:space="preserve">затраты по обслуживанию и управлению производства; 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 xml:space="preserve">затраты по подготовке кадров, оплате труда, созданию санитарно-гигиенических условий труда; 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 xml:space="preserve">налоги, сборы и отчисления; 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 xml:space="preserve">непроизводительные затраты и потери; 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прочие затраты. [12, c.23-24]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Основой для учета затрат себестоимости коммунального хозяйства являются «Методические рекомендации по учету производственных затрат и калькулированию себестоимости услуг на предприятиях жилищно-коммунального хозяйства», утвержденные приказом Министерства жилищно-коммунального хозяйства Республики Беларусь от 12 ноября 1999г. №160.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Особенность планирования затрат в коммунальном хозяйстве проявляется в том, что эксплуатационные расходы планируются в расчете на объем или единицу предоставляемой услуги (тариф за 1м2 воды, 1кВт/час).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Увеличение объемов услуг - главная задача коммунального хозяйства (при этом сокращаются условно-постоянные затраты), однако ограничителем является техническое состояние сетей энергоснабжения, водоснабжения, канализации, телефонных сетей и т.д.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Выручка от реализации продукции (работ, услуг) определяется одним из двух методов: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по мере поступления оплаты за услуги (продукцию, работы, товары);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по мере отгрузки продукции, товаров (выполнения работ, оказания услуг) и предъявления покупателю (заказчику) расчетных документов к оплате.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Метод определения выручки от реализации услуг (продукции, работ, товаров) устанавливается предприятием на длительный срок (как минимум на отчетный год) исходя из условий хозяйствования и заключаемых договоров.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В жилищно-эксплуатационных предприятиях в выручку не включаются целевые сборы - поступления от квартиросъемщиков в оплату за услуги, оказанные другими предприятиями (за холодную и горячую воду, отопление, газ, отвод сточной жидкости).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Источником средств на расширение и развитие производства, на материальное поощрение и социальное развитие коллектива является также прямое финансирование из бюджета.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Учет выручки, полученной предприятием, отражается по кредиту счета 46 "Выручка от реализации продукции (работ, услуг)" с выделением на отдельных субсчетах или аналитических счетах выручки по отдельным подотраслям, а в пределах подотрасли - льготируемой и не льготируемой по налогам. [4]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Расчет налогов производится по каждой подотрасли хозяйства отдельно, с учетом предоставляемых льгот. Так, от налога на добавленную стоимость освобождаются услуги, оказываемые населению: жилищно-коммунальные и эксплуатационные (включая квартплату). Услуги парикмахерских, бань и прачечных облагаются по ставке, пониженной на 50 процентов.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Материальные затраты учитываются в целом по подотрасли и распределяются между льготируемыми и нельготируемыми услугами исходя из удельного веса услуг в полученной выручке.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Конечный финансовый результат хозяйственной деятельности предприятия - балансовая прибыль или убыток - представляет собой сумму финансовых результатов от реализации услуг (продукции, работ, товаров), основных средств, товарно-материальных ресурсов, нематериальных активов, ценных бумаг, доходов от внереализационных операций, уменьшенных на сумму расходов по этим операциям.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Прибыль (убыток) от реализации услуг (продукции, работ, товаров) определяется как разность между выручкой от их реализации в отпускных ценах, тарифах (валовым доходом) и издержками производства (обращения) реализованных услуг (продукции, работ, товаров), отчислениями в республиканский фонд поддержки производителей сельскохозяйственной продукции и продовольствия, целевыми сборами на финансирование расходов, связанных с содержанием и ремонтом жилищного фонда, включая жилищно-строительные кооперативы, товарищества собственников, и на субсидии предприятиям по возмещению части затрат, связанных с оказанием жилищно-коммунальных услуг населению, отчислениями в фонд стабилизации экономики производителей сельскохозяйственной продукции и продовольствия, сборами за услуги, налогами на продажу, добавленную стоимость и акцизами. [4]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 xml:space="preserve">Прибыль предприятий коммунального хозяйства, осуществляющих свою деятельность и получающих доходы, складывается из: 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 xml:space="preserve">прибыли по основной деятельности; 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 xml:space="preserve">прибыли от реализации основных фондов; 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прибыли от внереализационных операций.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Прибыль (убыток) от реализации основных фондов (в гостиничном хозяйстве также от компенсации порчи имущества), материальных ресурсов и прочих активов определяется как разность между стоимостью этих активов по цене реализации и их балансовой стоимостью.</w:t>
      </w:r>
    </w:p>
    <w:p w:rsidR="009C1C56" w:rsidRPr="00B27E85" w:rsidRDefault="009C1C56" w:rsidP="009C1C56">
      <w:pPr>
        <w:spacing w:before="120"/>
        <w:ind w:firstLine="567"/>
        <w:jc w:val="both"/>
      </w:pPr>
      <w:r w:rsidRPr="00B27E85">
        <w:t>К доходам, не связанным с реализацией услуг (внереализационным доходам, отражаемым на счете 80 "Прибыли и убытки"), относятся доходы, поступившие в собственность получателя от операций, непосредственно не связанных с оказанием услуг (производством продукции, выполнением работ, отпуском товаров).</w:t>
      </w:r>
    </w:p>
    <w:p w:rsidR="009C1C56" w:rsidRPr="009C1C56" w:rsidRDefault="009C1C56" w:rsidP="009C1C56">
      <w:pPr>
        <w:spacing w:before="120"/>
        <w:ind w:firstLine="567"/>
        <w:jc w:val="both"/>
      </w:pPr>
      <w:r w:rsidRPr="00B27E85">
        <w:t>В заключение необходимо отметить, что различные подотрасли жилищно-коммунального хозяйства имеют свои особенности планирования и учета выручки (доходов) от реализации услуг, финансовых результатов от реализации, формирования и использования фондов специального назначения, обусловленные различиями в методах хозяйствования и источниках финансирования.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1C56"/>
    <w:rsid w:val="00051FB8"/>
    <w:rsid w:val="00095BA6"/>
    <w:rsid w:val="00210DB3"/>
    <w:rsid w:val="0031418A"/>
    <w:rsid w:val="00350B15"/>
    <w:rsid w:val="00377A3D"/>
    <w:rsid w:val="004964A0"/>
    <w:rsid w:val="0052086C"/>
    <w:rsid w:val="005A2562"/>
    <w:rsid w:val="00697C67"/>
    <w:rsid w:val="006A17F4"/>
    <w:rsid w:val="00755964"/>
    <w:rsid w:val="008C19D7"/>
    <w:rsid w:val="009C1C56"/>
    <w:rsid w:val="00A44D32"/>
    <w:rsid w:val="00B27E85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9060C2F-3EB3-438E-A133-6B4FE1DAF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C5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C1C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978</Words>
  <Characters>5577</Characters>
  <Application>Microsoft Office Word</Application>
  <DocSecurity>0</DocSecurity>
  <Lines>46</Lines>
  <Paragraphs>13</Paragraphs>
  <ScaleCrop>false</ScaleCrop>
  <Company>Home</Company>
  <LinksUpToDate>false</LinksUpToDate>
  <CharactersWithSpaces>6542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Выручка, прибыль, их планирование и использование в коммунальном хозяйстве</dc:title>
  <dc:subject/>
  <dc:creator>Alena</dc:creator>
  <cp:keywords/>
  <dc:description/>
  <cp:lastModifiedBy>admin</cp:lastModifiedBy>
  <cp:revision>2</cp:revision>
  <dcterms:created xsi:type="dcterms:W3CDTF">2014-02-19T03:07:00Z</dcterms:created>
  <dcterms:modified xsi:type="dcterms:W3CDTF">2014-02-19T03:07:00Z</dcterms:modified>
</cp:coreProperties>
</file>