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61B" w:rsidRDefault="00E93523">
      <w:pPr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Содержание:</w:t>
      </w:r>
    </w:p>
    <w:p w:rsidR="0071761B" w:rsidRDefault="00E93523">
      <w:pPr>
        <w:numPr>
          <w:ilvl w:val="0"/>
          <w:numId w:val="1"/>
        </w:numPr>
        <w:spacing w:line="360" w:lineRule="auto"/>
        <w:ind w:left="1429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Роль земельно – кадастровой информации для Государственном кадастре недвижимости.</w:t>
      </w:r>
    </w:p>
    <w:p w:rsidR="0071761B" w:rsidRPr="00E93523" w:rsidRDefault="00E93523">
      <w:pPr>
        <w:numPr>
          <w:ilvl w:val="0"/>
          <w:numId w:val="1"/>
        </w:numPr>
        <w:spacing w:line="360" w:lineRule="auto"/>
        <w:ind w:left="1429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оптимизации состава показателей качественного состояния земель в системе ГКН.</w:t>
      </w: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Pr="000561EF" w:rsidRDefault="00E93523" w:rsidP="00E93523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8"/>
        </w:rPr>
      </w:pPr>
      <w:r w:rsidRPr="000561EF">
        <w:rPr>
          <w:rFonts w:ascii="Times New Roman" w:hAnsi="Times New Roman"/>
          <w:b/>
          <w:sz w:val="28"/>
        </w:rPr>
        <w:t>Роль земельно – кадастровой информации для Государственном кадастре недвижимости.</w:t>
      </w:r>
    </w:p>
    <w:p w:rsidR="00E93523" w:rsidRDefault="00E93523" w:rsidP="00E93523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Calibri" w:hAnsi="Times New Roman"/>
          <w:sz w:val="28"/>
        </w:rPr>
      </w:pPr>
      <w:r w:rsidRPr="00683643">
        <w:rPr>
          <w:rFonts w:ascii="Times New Roman" w:eastAsia="Calibri" w:hAnsi="Times New Roman"/>
          <w:sz w:val="28"/>
        </w:rPr>
        <w:t>Земельно-кадастровая информация составляет совокупность</w:t>
      </w:r>
      <w:r w:rsidRPr="00683643">
        <w:rPr>
          <w:rFonts w:ascii="Times New Roman" w:eastAsia="Calibri" w:hAnsi="Times New Roman"/>
          <w:sz w:val="28"/>
        </w:rPr>
        <w:br/>
        <w:t>земельно-регистрационной, земельно-учетной и земельно-оценочной</w:t>
      </w:r>
      <w:r w:rsidRPr="00683643">
        <w:rPr>
          <w:rFonts w:ascii="Times New Roman" w:eastAsia="Calibri" w:hAnsi="Times New Roman"/>
          <w:sz w:val="28"/>
        </w:rPr>
        <w:br/>
        <w:t>информации и предназначается для использования органами государс</w:t>
      </w:r>
      <w:r>
        <w:rPr>
          <w:rFonts w:ascii="Times New Roman" w:eastAsia="Calibri" w:hAnsi="Times New Roman"/>
          <w:sz w:val="28"/>
        </w:rPr>
        <w:t xml:space="preserve">твенной </w:t>
      </w:r>
      <w:r w:rsidRPr="00683643">
        <w:rPr>
          <w:rFonts w:ascii="Times New Roman" w:eastAsia="Calibri" w:hAnsi="Times New Roman"/>
          <w:sz w:val="28"/>
        </w:rPr>
        <w:t>власти и управления, а также заи</w:t>
      </w:r>
      <w:r>
        <w:rPr>
          <w:rFonts w:ascii="Times New Roman" w:eastAsia="Calibri" w:hAnsi="Times New Roman"/>
          <w:sz w:val="28"/>
        </w:rPr>
        <w:t xml:space="preserve">нтересованными            юридическими и </w:t>
      </w:r>
      <w:r w:rsidRPr="00683643">
        <w:rPr>
          <w:rFonts w:ascii="Times New Roman" w:eastAsia="Calibri" w:hAnsi="Times New Roman"/>
          <w:sz w:val="28"/>
        </w:rPr>
        <w:t>физическими лицами.</w:t>
      </w:r>
      <w:r w:rsidRPr="00683643">
        <w:rPr>
          <w:rFonts w:ascii="Times New Roman" w:eastAsia="Calibri" w:hAnsi="Times New Roman"/>
          <w:sz w:val="28"/>
        </w:rPr>
        <w:br/>
        <w:t>Сведения государственного земельного кадастра подлежат</w:t>
      </w:r>
      <w:r w:rsidRPr="00683643">
        <w:rPr>
          <w:rFonts w:ascii="Times New Roman" w:eastAsia="Calibri" w:hAnsi="Times New Roman"/>
          <w:sz w:val="28"/>
        </w:rPr>
        <w:br/>
        <w:t>обязательному применению при использовании, восстановлении и охране</w:t>
      </w:r>
      <w:r w:rsidRPr="00683643">
        <w:rPr>
          <w:rFonts w:ascii="Times New Roman" w:eastAsia="Calibri" w:hAnsi="Times New Roman"/>
          <w:sz w:val="28"/>
        </w:rPr>
        <w:br/>
        <w:t>земель, предоставлении (реализации) и изъятии земельных участков,</w:t>
      </w:r>
      <w:r w:rsidRPr="00683643">
        <w:rPr>
          <w:rFonts w:ascii="Times New Roman" w:eastAsia="Calibri" w:hAnsi="Times New Roman"/>
          <w:sz w:val="28"/>
        </w:rPr>
        <w:br/>
        <w:t>определении размеров платы за землю, проведении землеустройства,</w:t>
      </w:r>
      <w:r w:rsidRPr="00683643">
        <w:rPr>
          <w:rFonts w:ascii="Times New Roman" w:eastAsia="Calibri" w:hAnsi="Times New Roman"/>
          <w:sz w:val="28"/>
        </w:rPr>
        <w:br/>
        <w:t>оценке хозяйственной деятельности и осуществлении других мероприятий,</w:t>
      </w:r>
      <w:r w:rsidRPr="00683643">
        <w:rPr>
          <w:rFonts w:ascii="Times New Roman" w:eastAsia="Calibri" w:hAnsi="Times New Roman"/>
          <w:sz w:val="28"/>
        </w:rPr>
        <w:br/>
        <w:t>связанных с использованием и охраной земель.</w:t>
      </w:r>
      <w:r w:rsidRPr="00683643">
        <w:rPr>
          <w:rFonts w:ascii="Times New Roman" w:eastAsia="Calibri" w:hAnsi="Times New Roman"/>
          <w:sz w:val="28"/>
        </w:rPr>
        <w:br/>
        <w:t>Земельно-кадастровая информация органам государственной власти</w:t>
      </w:r>
      <w:r w:rsidRPr="00683643">
        <w:rPr>
          <w:rFonts w:ascii="Times New Roman" w:eastAsia="Calibri" w:hAnsi="Times New Roman"/>
          <w:sz w:val="28"/>
        </w:rPr>
        <w:br/>
        <w:t>и управления предоставляется бесплатно, а юридическим и физическим</w:t>
      </w:r>
      <w:r w:rsidRPr="00683643">
        <w:rPr>
          <w:rFonts w:ascii="Times New Roman" w:eastAsia="Calibri" w:hAnsi="Times New Roman"/>
          <w:sz w:val="28"/>
        </w:rPr>
        <w:br/>
        <w:t>лицам - за плату.</w:t>
      </w:r>
      <w:r w:rsidRPr="00683643">
        <w:rPr>
          <w:rFonts w:ascii="Times New Roman" w:eastAsia="Calibri" w:hAnsi="Times New Roman"/>
          <w:sz w:val="28"/>
        </w:rPr>
        <w:br/>
        <w:t>Пользователи земельно-кадастровой информации вправе получать</w:t>
      </w:r>
      <w:r w:rsidRPr="00683643">
        <w:rPr>
          <w:rFonts w:ascii="Times New Roman" w:eastAsia="Calibri" w:hAnsi="Times New Roman"/>
          <w:sz w:val="28"/>
        </w:rPr>
        <w:br/>
        <w:t>ее в сроки и объемах, предусмотренных законодатель</w:t>
      </w:r>
      <w:r>
        <w:rPr>
          <w:rFonts w:ascii="Times New Roman" w:eastAsia="Calibri" w:hAnsi="Times New Roman"/>
          <w:sz w:val="28"/>
        </w:rPr>
        <w:t>ством или на</w:t>
      </w:r>
      <w:r>
        <w:rPr>
          <w:rFonts w:ascii="Times New Roman" w:eastAsia="Calibri" w:hAnsi="Times New Roman"/>
          <w:sz w:val="28"/>
        </w:rPr>
        <w:br/>
        <w:t xml:space="preserve">договорной основе. </w:t>
      </w:r>
      <w:r w:rsidRPr="00683643">
        <w:rPr>
          <w:rFonts w:ascii="Times New Roman" w:eastAsia="Calibri" w:hAnsi="Times New Roman"/>
          <w:sz w:val="28"/>
        </w:rPr>
        <w:t>Юридические и физические л</w:t>
      </w:r>
      <w:r>
        <w:rPr>
          <w:rFonts w:ascii="Times New Roman" w:eastAsia="Calibri" w:hAnsi="Times New Roman"/>
          <w:sz w:val="28"/>
        </w:rPr>
        <w:t xml:space="preserve">ица вправе требовать пересмотра </w:t>
      </w:r>
      <w:r w:rsidRPr="00683643">
        <w:rPr>
          <w:rFonts w:ascii="Times New Roman" w:eastAsia="Calibri" w:hAnsi="Times New Roman"/>
          <w:sz w:val="28"/>
        </w:rPr>
        <w:t>данных з</w:t>
      </w:r>
      <w:r>
        <w:rPr>
          <w:rFonts w:ascii="Times New Roman" w:eastAsia="Calibri" w:hAnsi="Times New Roman"/>
          <w:sz w:val="28"/>
        </w:rPr>
        <w:t xml:space="preserve">емельно-кадастровой информации. </w:t>
      </w:r>
      <w:r w:rsidRPr="00683643">
        <w:rPr>
          <w:rFonts w:ascii="Times New Roman" w:eastAsia="Calibri" w:hAnsi="Times New Roman"/>
          <w:sz w:val="28"/>
        </w:rPr>
        <w:t>В целях защиты государственных секретов законодательством</w:t>
      </w:r>
      <w:r w:rsidRPr="00683643">
        <w:rPr>
          <w:rFonts w:ascii="Times New Roman" w:eastAsia="Calibri" w:hAnsi="Times New Roman"/>
          <w:sz w:val="28"/>
        </w:rPr>
        <w:br/>
        <w:t>могут быть предусмотрены случаи ограничения или запрещения доступа к</w:t>
      </w:r>
      <w:r w:rsidRPr="00683643">
        <w:rPr>
          <w:rFonts w:ascii="Times New Roman" w:eastAsia="Calibri" w:hAnsi="Times New Roman"/>
          <w:sz w:val="28"/>
        </w:rPr>
        <w:br/>
        <w:t>земельно-кадастровой информации.</w:t>
      </w:r>
      <w:r w:rsidRPr="00683643">
        <w:rPr>
          <w:rFonts w:ascii="Times New Roman" w:eastAsia="Calibri" w:hAnsi="Times New Roman"/>
          <w:sz w:val="28"/>
        </w:rPr>
        <w:br/>
      </w:r>
      <w:r>
        <w:rPr>
          <w:rFonts w:eastAsia="Calibri"/>
        </w:rPr>
        <w:t xml:space="preserve">                </w:t>
      </w:r>
      <w:r w:rsidRPr="00683643">
        <w:rPr>
          <w:rFonts w:ascii="Times New Roman" w:eastAsia="Calibri" w:hAnsi="Times New Roman"/>
          <w:sz w:val="28"/>
        </w:rPr>
        <w:t>Сведения государственного земельного кадастра подлежат</w:t>
      </w:r>
      <w:r w:rsidRPr="00683643">
        <w:rPr>
          <w:rFonts w:ascii="Times New Roman" w:eastAsia="Calibri" w:hAnsi="Times New Roman"/>
          <w:sz w:val="28"/>
        </w:rPr>
        <w:br/>
        <w:t>обязательному применению при использовании, восстановлении и охране</w:t>
      </w:r>
      <w:r w:rsidRPr="00683643">
        <w:rPr>
          <w:rFonts w:ascii="Times New Roman" w:eastAsia="Calibri" w:hAnsi="Times New Roman"/>
          <w:sz w:val="28"/>
        </w:rPr>
        <w:br/>
        <w:t>земель, предоставлении (реализации) и изъятии земельных участков,</w:t>
      </w:r>
      <w:r w:rsidRPr="00683643">
        <w:rPr>
          <w:rFonts w:ascii="Times New Roman" w:eastAsia="Calibri" w:hAnsi="Times New Roman"/>
          <w:sz w:val="28"/>
        </w:rPr>
        <w:br/>
        <w:t>определении размеров платы за землю, проведении землеустройства,</w:t>
      </w:r>
      <w:r w:rsidRPr="00683643">
        <w:rPr>
          <w:rFonts w:ascii="Times New Roman" w:eastAsia="Calibri" w:hAnsi="Times New Roman"/>
          <w:sz w:val="28"/>
        </w:rPr>
        <w:br/>
        <w:t>оценке хозяйственной деятельности и осуществлении других мероприятий,</w:t>
      </w:r>
      <w:r w:rsidRPr="00683643">
        <w:rPr>
          <w:rFonts w:ascii="Times New Roman" w:eastAsia="Calibri" w:hAnsi="Times New Roman"/>
          <w:sz w:val="28"/>
        </w:rPr>
        <w:br/>
        <w:t>связанных с и</w:t>
      </w:r>
      <w:r>
        <w:rPr>
          <w:rFonts w:ascii="Times New Roman" w:eastAsia="Calibri" w:hAnsi="Times New Roman"/>
          <w:sz w:val="28"/>
        </w:rPr>
        <w:t xml:space="preserve">спользованием и охраной земель. </w:t>
      </w:r>
      <w:r w:rsidRPr="00683643">
        <w:rPr>
          <w:rFonts w:ascii="Times New Roman" w:eastAsia="Calibri" w:hAnsi="Times New Roman"/>
          <w:sz w:val="28"/>
        </w:rPr>
        <w:t>Земельно-кадастровая информация</w:t>
      </w:r>
      <w:r>
        <w:rPr>
          <w:rFonts w:ascii="Times New Roman" w:eastAsia="Calibri" w:hAnsi="Times New Roman"/>
          <w:sz w:val="28"/>
        </w:rPr>
        <w:t xml:space="preserve"> органам государственной власти </w:t>
      </w:r>
      <w:r w:rsidRPr="00683643">
        <w:rPr>
          <w:rFonts w:ascii="Times New Roman" w:eastAsia="Calibri" w:hAnsi="Times New Roman"/>
          <w:sz w:val="28"/>
        </w:rPr>
        <w:t>и управления предоставляется бесплатно, а юридическим</w:t>
      </w:r>
      <w:r>
        <w:rPr>
          <w:rFonts w:ascii="Times New Roman" w:eastAsia="Calibri" w:hAnsi="Times New Roman"/>
          <w:sz w:val="28"/>
        </w:rPr>
        <w:t xml:space="preserve"> и физическим лицам - за плату. </w:t>
      </w:r>
      <w:r w:rsidRPr="00683643">
        <w:rPr>
          <w:rFonts w:ascii="Times New Roman" w:eastAsia="Calibri" w:hAnsi="Times New Roman"/>
          <w:sz w:val="28"/>
        </w:rPr>
        <w:t xml:space="preserve">Пользователи земельно-кадастровой информации </w:t>
      </w:r>
      <w:r>
        <w:rPr>
          <w:rFonts w:ascii="Times New Roman" w:eastAsia="Calibri" w:hAnsi="Times New Roman"/>
          <w:sz w:val="28"/>
        </w:rPr>
        <w:t xml:space="preserve">вправе получать </w:t>
      </w:r>
      <w:r w:rsidRPr="00683643">
        <w:rPr>
          <w:rFonts w:ascii="Times New Roman" w:eastAsia="Calibri" w:hAnsi="Times New Roman"/>
          <w:sz w:val="28"/>
        </w:rPr>
        <w:t>ее в сроки и объемах, предусмотренных законодатель</w:t>
      </w:r>
      <w:r>
        <w:rPr>
          <w:rFonts w:ascii="Times New Roman" w:eastAsia="Calibri" w:hAnsi="Times New Roman"/>
          <w:sz w:val="28"/>
        </w:rPr>
        <w:t xml:space="preserve">ством или на договорной основе. </w:t>
      </w:r>
      <w:r w:rsidRPr="00683643">
        <w:rPr>
          <w:rFonts w:ascii="Times New Roman" w:eastAsia="Calibri" w:hAnsi="Times New Roman"/>
          <w:sz w:val="28"/>
        </w:rPr>
        <w:t>Юридические и физические л</w:t>
      </w:r>
      <w:r>
        <w:rPr>
          <w:rFonts w:ascii="Times New Roman" w:eastAsia="Calibri" w:hAnsi="Times New Roman"/>
          <w:sz w:val="28"/>
        </w:rPr>
        <w:t xml:space="preserve">ица вправе требовать пересмотра </w:t>
      </w:r>
      <w:r w:rsidRPr="00683643">
        <w:rPr>
          <w:rFonts w:ascii="Times New Roman" w:eastAsia="Calibri" w:hAnsi="Times New Roman"/>
          <w:sz w:val="28"/>
        </w:rPr>
        <w:t>данных з</w:t>
      </w:r>
      <w:r>
        <w:rPr>
          <w:rFonts w:ascii="Times New Roman" w:eastAsia="Calibri" w:hAnsi="Times New Roman"/>
          <w:sz w:val="28"/>
        </w:rPr>
        <w:t xml:space="preserve">емельно-кадастровой информации. В целях защиты государственных секретов законодательством </w:t>
      </w:r>
      <w:r w:rsidRPr="00683643">
        <w:rPr>
          <w:rFonts w:ascii="Times New Roman" w:eastAsia="Calibri" w:hAnsi="Times New Roman"/>
          <w:sz w:val="28"/>
        </w:rPr>
        <w:t>могут быть предусмотрены случаи огран</w:t>
      </w:r>
      <w:r>
        <w:rPr>
          <w:rFonts w:ascii="Times New Roman" w:eastAsia="Calibri" w:hAnsi="Times New Roman"/>
          <w:sz w:val="28"/>
        </w:rPr>
        <w:t xml:space="preserve">ичения или запрещения доступа к </w:t>
      </w:r>
      <w:r w:rsidRPr="00683643">
        <w:rPr>
          <w:rFonts w:ascii="Times New Roman" w:eastAsia="Calibri" w:hAnsi="Times New Roman"/>
          <w:sz w:val="28"/>
        </w:rPr>
        <w:t>земельно-кадастровой информации.</w:t>
      </w:r>
      <w:r w:rsidRPr="00683643">
        <w:rPr>
          <w:rFonts w:ascii="Times New Roman" w:eastAsia="Calibri" w:hAnsi="Times New Roman"/>
          <w:sz w:val="28"/>
        </w:rPr>
        <w:br/>
      </w:r>
      <w:r>
        <w:rPr>
          <w:rFonts w:ascii="Times New Roman" w:hAnsi="Times New Roman"/>
          <w:sz w:val="28"/>
          <w:szCs w:val="20"/>
        </w:rPr>
        <w:t xml:space="preserve">       В</w:t>
      </w:r>
      <w:r w:rsidRPr="00683643">
        <w:rPr>
          <w:rFonts w:ascii="Times New Roman" w:hAnsi="Times New Roman"/>
          <w:sz w:val="28"/>
          <w:szCs w:val="20"/>
        </w:rPr>
        <w:t xml:space="preserve">ажная  роль государственного кадастра недвижимости (ГКН) как элемента системы государственного и муниципального управления развитием территорий. </w:t>
      </w:r>
      <w:r>
        <w:rPr>
          <w:rFonts w:ascii="Times New Roman" w:hAnsi="Times New Roman"/>
          <w:sz w:val="28"/>
          <w:szCs w:val="20"/>
        </w:rPr>
        <w:t xml:space="preserve"> </w:t>
      </w:r>
      <w:r w:rsidRPr="00683643">
        <w:rPr>
          <w:rFonts w:ascii="Times New Roman" w:hAnsi="Times New Roman"/>
          <w:sz w:val="28"/>
          <w:szCs w:val="20"/>
        </w:rPr>
        <w:t>При этом важна р</w:t>
      </w:r>
      <w:r>
        <w:rPr>
          <w:rFonts w:ascii="Times New Roman" w:hAnsi="Times New Roman"/>
          <w:sz w:val="28"/>
          <w:szCs w:val="20"/>
        </w:rPr>
        <w:t>оль каждой из составляющих ГКН:</w:t>
      </w:r>
      <w:r w:rsidRPr="00683643">
        <w:rPr>
          <w:rFonts w:ascii="Times New Roman" w:hAnsi="Times New Roman"/>
          <w:sz w:val="28"/>
          <w:szCs w:val="20"/>
        </w:rPr>
        <w:br/>
        <w:t>— государственный кадастровый учет – как акт признания и подтверждения государством существования объекта недвижимости;</w:t>
      </w:r>
      <w:r w:rsidRPr="00683643">
        <w:rPr>
          <w:rFonts w:ascii="Times New Roman" w:hAnsi="Times New Roman"/>
          <w:sz w:val="28"/>
          <w:szCs w:val="20"/>
        </w:rPr>
        <w:br/>
        <w:t>— землеустройство – как механизм установления на местности границ объектов землеустройства, организации рационального использования гражданами и юридическими лицами земельных участков для осуществления сельскохозяйственного производства;</w:t>
      </w:r>
      <w:r w:rsidRPr="00683643">
        <w:rPr>
          <w:rFonts w:ascii="Times New Roman" w:hAnsi="Times New Roman"/>
          <w:sz w:val="28"/>
          <w:szCs w:val="20"/>
        </w:rPr>
        <w:br/>
        <w:t>— государственный земельный контроль – как механизм, обеспечивающий соблюдение земельного законодательства при использовании земель;</w:t>
      </w:r>
      <w:r w:rsidRPr="00683643">
        <w:rPr>
          <w:rFonts w:ascii="Times New Roman" w:hAnsi="Times New Roman"/>
          <w:sz w:val="28"/>
          <w:szCs w:val="20"/>
        </w:rPr>
        <w:br/>
        <w:t>— кадастровая оценка земельных участков – как механизм обеспечения справедливого налогообложения.</w:t>
      </w:r>
      <w:r>
        <w:rPr>
          <w:rFonts w:ascii="Times New Roman" w:eastAsia="Calibri" w:hAnsi="Times New Roman"/>
          <w:sz w:val="28"/>
        </w:rPr>
        <w:t xml:space="preserve"> </w:t>
      </w: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  <w:r w:rsidRPr="00683643">
        <w:rPr>
          <w:rFonts w:ascii="Times New Roman" w:hAnsi="Times New Roman"/>
          <w:sz w:val="28"/>
          <w:szCs w:val="20"/>
        </w:rPr>
        <w:t>Прошло более десяти лет с момента принятия закона о государственном земельном кадастре и введении процедуры государственного кадастрового учета земельных участков. За это время в базу данных кадастра было введено большое количество данных о земельных участках, которые необходимо учитывать при управлении территориями, что привело к возрастающей роли информационной функции кадастра.</w:t>
      </w:r>
      <w:r w:rsidRPr="00683643">
        <w:rPr>
          <w:rFonts w:ascii="Times New Roman" w:hAnsi="Times New Roman"/>
          <w:sz w:val="28"/>
          <w:szCs w:val="20"/>
        </w:rPr>
        <w:br/>
        <w:t xml:space="preserve"> информационная функция ГКН реализуется в настоящее время не достаточно эффективно и не в полном объеме в силу целого ряда причин, а именно:</w:t>
      </w:r>
      <w:r w:rsidRPr="00683643">
        <w:rPr>
          <w:rFonts w:ascii="Times New Roman" w:hAnsi="Times New Roman"/>
          <w:sz w:val="28"/>
          <w:szCs w:val="20"/>
        </w:rPr>
        <w:br/>
      </w:r>
      <w:r w:rsidRPr="00683643">
        <w:rPr>
          <w:rFonts w:ascii="Times New Roman" w:hAnsi="Times New Roman"/>
          <w:sz w:val="20"/>
          <w:szCs w:val="20"/>
        </w:rPr>
        <w:br/>
        <w:t xml:space="preserve">— </w:t>
      </w:r>
      <w:r w:rsidRPr="00683643">
        <w:rPr>
          <w:rFonts w:ascii="Times New Roman" w:hAnsi="Times New Roman"/>
          <w:sz w:val="28"/>
          <w:szCs w:val="20"/>
        </w:rPr>
        <w:t>использование формата данных предоставления сведений ГКН, требующего дополнительных трудовых затрат на проведение анализа и обработку кадастровой информации;</w:t>
      </w:r>
      <w:r w:rsidRPr="00683643">
        <w:rPr>
          <w:rFonts w:ascii="Times New Roman" w:hAnsi="Times New Roman"/>
          <w:sz w:val="28"/>
          <w:szCs w:val="20"/>
        </w:rPr>
        <w:br/>
        <w:t>— использование различных систем координат при ведении ГКН, разработке градостроительной документации, создании крупномасштабных топографических карт и планов, а также отсутствие легитимных открытых ключей перехода и как следствие трудоемкость и недостаточная точность пересчета пространственных данных между различными системами координат;</w:t>
      </w:r>
      <w:r w:rsidRPr="00683643">
        <w:rPr>
          <w:rFonts w:ascii="Times New Roman" w:hAnsi="Times New Roman"/>
          <w:sz w:val="28"/>
          <w:szCs w:val="20"/>
        </w:rPr>
        <w:br/>
        <w:t>— наличие ошибок в базах данных ГКН и отсутствие системы удостоверения соответствия между данными в различных юридически значимых источниках данных;</w:t>
      </w:r>
      <w:r w:rsidRPr="00683643">
        <w:rPr>
          <w:rFonts w:ascii="Times New Roman" w:hAnsi="Times New Roman"/>
          <w:sz w:val="28"/>
          <w:szCs w:val="20"/>
        </w:rPr>
        <w:br/>
        <w:t>— отсутствие широкой доступности кадастровых карт территорий муниципальных образований и территорий субъектов Российской Федерации, что делает их использование крайне затруднительным для органов местного самоуправления при оперативном управлении развитием территорий и разработке градостроительной документации;— отсутствие системы электронного документооборота между участниками информационного взаимодействия;</w:t>
      </w:r>
      <w:r w:rsidRPr="00683643">
        <w:rPr>
          <w:rFonts w:ascii="Times New Roman" w:hAnsi="Times New Roman"/>
          <w:sz w:val="28"/>
          <w:szCs w:val="20"/>
        </w:rPr>
        <w:br/>
        <w:t xml:space="preserve">— не достаточное нормативно-правовое обеспечение использования электронных документов в информационном взаимодействии и в обороте недвижимости; </w:t>
      </w:r>
      <w:r w:rsidRPr="00683643">
        <w:rPr>
          <w:rFonts w:ascii="Times New Roman" w:hAnsi="Times New Roman"/>
          <w:sz w:val="28"/>
          <w:szCs w:val="20"/>
        </w:rPr>
        <w:br/>
        <w:t>— необходимостью описания объектов землеустройства (территориальных зон, зон с особыми условиями использования территорий) как минимум в трех информационных системах (ГКН, ИС ОГД и Государственном фонде данных, полученных в результате проведения землеустройства) с предъявлением различных требований их документированию;</w:t>
      </w:r>
      <w:r w:rsidRPr="00683643">
        <w:rPr>
          <w:rFonts w:ascii="Times New Roman" w:hAnsi="Times New Roman"/>
          <w:sz w:val="28"/>
          <w:szCs w:val="20"/>
        </w:rPr>
        <w:br/>
        <w:t>— отсутствие технологически эффективных процедур и нормативно-правового обеспечения информационного обмена данными между АИС ГКН, ИC ОГД и друг</w:t>
      </w:r>
      <w:r>
        <w:rPr>
          <w:rFonts w:ascii="Times New Roman" w:hAnsi="Times New Roman"/>
          <w:sz w:val="28"/>
          <w:szCs w:val="20"/>
        </w:rPr>
        <w:t xml:space="preserve">ими информационными системами.  </w:t>
      </w:r>
      <w:r w:rsidRPr="00683643">
        <w:rPr>
          <w:rFonts w:ascii="Times New Roman" w:hAnsi="Times New Roman"/>
          <w:sz w:val="28"/>
          <w:szCs w:val="20"/>
        </w:rPr>
        <w:t>Это ведет к тому, что при подготовке управленческих решений на уровне субъектов РФ и органов местного самоуправления сведе</w:t>
      </w:r>
      <w:r>
        <w:rPr>
          <w:rFonts w:ascii="Times New Roman" w:hAnsi="Times New Roman"/>
          <w:sz w:val="28"/>
          <w:szCs w:val="20"/>
        </w:rPr>
        <w:t xml:space="preserve">ния ГКН не всегда учитываются </w:t>
      </w:r>
      <w:r w:rsidRPr="00683643">
        <w:rPr>
          <w:rFonts w:ascii="Times New Roman" w:hAnsi="Times New Roman"/>
          <w:sz w:val="28"/>
          <w:szCs w:val="20"/>
        </w:rPr>
        <w:t>принимаются ошибочные решения при распоряжении земельными ресурсами и при приня</w:t>
      </w:r>
      <w:r>
        <w:rPr>
          <w:rFonts w:ascii="Times New Roman" w:hAnsi="Times New Roman"/>
          <w:sz w:val="28"/>
          <w:szCs w:val="20"/>
        </w:rPr>
        <w:t>тии градостроительных решений.</w:t>
      </w:r>
      <w:r>
        <w:rPr>
          <w:rFonts w:ascii="Times New Roman" w:hAnsi="Times New Roman"/>
          <w:sz w:val="28"/>
          <w:szCs w:val="20"/>
        </w:rPr>
        <w:br/>
        <w:t xml:space="preserve">        В</w:t>
      </w:r>
      <w:r w:rsidRPr="00683643">
        <w:rPr>
          <w:rFonts w:ascii="Times New Roman" w:hAnsi="Times New Roman"/>
          <w:sz w:val="28"/>
          <w:szCs w:val="20"/>
        </w:rPr>
        <w:t xml:space="preserve"> настоящее время Росреестром работу по внедрению современных информационных технологий в ГКН и по обеспечению публичности имеющихся в нем сведений. Отмечая при этом необходимость принятия системных и глубоких мер по повышению качества данных ГКН и повышению роли органов МСУ как интегратора данных о земельных участках для исчисления земельного налога в виду их заинтересованности </w:t>
      </w:r>
      <w:r>
        <w:rPr>
          <w:rFonts w:ascii="Times New Roman" w:hAnsi="Times New Roman"/>
          <w:sz w:val="28"/>
          <w:szCs w:val="20"/>
        </w:rPr>
        <w:t xml:space="preserve">в пополнении местного бюджета. </w:t>
      </w:r>
      <w:r w:rsidRPr="00683643">
        <w:rPr>
          <w:rFonts w:ascii="Times New Roman" w:hAnsi="Times New Roman"/>
          <w:sz w:val="28"/>
          <w:szCs w:val="20"/>
        </w:rPr>
        <w:t>Главным тормозом в преодолении означенных выше проблем и в развитии кадастра недвижимости в целом является отсутствие механизма обратной связи. Центральный аппарат органа кадастрового учета не располагает всей необходимой информацией о реальных проблемах, складывающихся на местах. Органы региональной власти и местного самоуправления не могут отследить все нововведения в ГКН.</w:t>
      </w:r>
      <w:r w:rsidRPr="00683643">
        <w:rPr>
          <w:rFonts w:ascii="Times New Roman" w:hAnsi="Times New Roman"/>
          <w:sz w:val="28"/>
          <w:szCs w:val="20"/>
        </w:rPr>
        <w:br/>
      </w:r>
      <w:r w:rsidRPr="00683643">
        <w:rPr>
          <w:rFonts w:ascii="Times New Roman" w:hAnsi="Times New Roman"/>
          <w:sz w:val="28"/>
          <w:szCs w:val="20"/>
        </w:rPr>
        <w:br/>
        <w:t>Таким образом, несогласованность в информационной политике органа кадастрового учета, органов регионального и муниципального управления, их межведомственная разобщенность выливается в недовольство граждан, потерю инвестиций и существенные недоимки в местные бюджеты.</w:t>
      </w:r>
      <w:r w:rsidRPr="00683643">
        <w:rPr>
          <w:rFonts w:ascii="Times New Roman" w:hAnsi="Times New Roman"/>
          <w:sz w:val="28"/>
          <w:szCs w:val="20"/>
        </w:rPr>
        <w:br/>
      </w: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360" w:lineRule="auto"/>
        <w:rPr>
          <w:rFonts w:ascii="Times New Roman" w:hAnsi="Times New Roman"/>
          <w:sz w:val="28"/>
          <w:lang w:val="en-US"/>
        </w:rPr>
      </w:pPr>
    </w:p>
    <w:p w:rsidR="00E93523" w:rsidRDefault="00E93523" w:rsidP="00E93523">
      <w:pPr>
        <w:spacing w:line="240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Принципы оптимизации состава показателей качественного состояния земель в системе ГКН.</w:t>
      </w:r>
    </w:p>
    <w:p w:rsidR="00E93523" w:rsidRDefault="00E93523" w:rsidP="00E9352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В системе государственного землеустройства, мониторинга и учета земель государственный кадастр недвижимости (ГКН) в настоящее время играет особую роль. При этом многими участниками землеустроительного процесса значение государственного землеустройства, как основы организации рационального использования земель и их охраны, зачастую нивелируется.</w:t>
      </w:r>
    </w:p>
    <w:p w:rsidR="00E93523" w:rsidRDefault="00E93523" w:rsidP="00E9352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Государство все меньше финансирует землеустроительные работы и переносит центр тяжести финансового обеспечения землеустройства на заинтересованные физические и юридические лица. Однако ни одно высокоразвитое государство, исходя из своих геополитических, социально-экономических и экологических соображений, не отказывается от управления земельными ресурсами через систему землеустройства.</w:t>
      </w:r>
    </w:p>
    <w:p w:rsidR="00E93523" w:rsidRDefault="00E93523" w:rsidP="00E9352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государственного землеустройства включает в себя государственный кадастр недвижимости как основу технического учета земель, государственный мониторинг земель – как основу актуализации сведений о состоянии земель и непосредственно землеустройство – как основной механизм рационального управления земельным фондом.</w:t>
      </w:r>
    </w:p>
    <w:p w:rsidR="00E93523" w:rsidRDefault="00E93523" w:rsidP="00E9352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сожалению, на сегодняшний день из всей связанной системы государственного землеустройства финансируется только ГКН, хотя в развитых европейских странах в полной мере финансируется вся система землеустройства в целом.</w:t>
      </w:r>
    </w:p>
    <w:p w:rsidR="00E93523" w:rsidRDefault="00E93523" w:rsidP="00E9352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Главными целями государственного земельного кадастра, в период действия 28-ФЗ «О государственном земельном кадастре» от 02.01.2000 являлись информационное обеспечение управления земельными ресурсами, землеустройства, контроля за использованием и охраной земель, др. На данный момент основными задачами ведения государственного кадастра недвижимости стали: сбор, систематизация, хранение, обобщение, обновление и предоставление пользователям информации о недвижимом имуществе. Иными словами, кадастр ради кадастра.</w:t>
      </w:r>
    </w:p>
    <w:p w:rsidR="00E93523" w:rsidRDefault="00E93523" w:rsidP="00E9352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ведущей роли государственного землеустройства в экономике государства неоднократно упоминают академики РАСХН С.Н. Волков, В.Н. Хлыстун, Н.В. Комов, многие ученые-землеустроители. Опыт зарубежных стран и элементарная логика говорят о том, что нельзя, закрыв глаза на реальность, двигаться дальше, государству нужно сосредоточить основное внимание и финансы не на кадастре, как таковом, а на более серьезной задаче – рациональное управление земельными ресурсами.</w:t>
      </w:r>
    </w:p>
    <w:p w:rsidR="00E93523" w:rsidRDefault="00E93523" w:rsidP="00E9352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Современная система государственного кадастра недвижимости в Российской Федерации.</w:t>
      </w:r>
    </w:p>
    <w:p w:rsidR="00E93523" w:rsidRDefault="00E93523" w:rsidP="00E9352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Государственный кадастр недвижимости является основным информационным ресурсом, обеспечивающим защиту прав на недвижимое имущество и управление земельным фондом. Поэтому проблемы системы ГКН оказывают влияние на интересы физических и юридических лиц, органов государственной власти и местного самоуправления.</w:t>
      </w:r>
    </w:p>
    <w:p w:rsidR="00E93523" w:rsidRDefault="00E93523" w:rsidP="00E9352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начала хочется отметить некоторые недостатки нынешней системы государственного кадастра, а так же ошибки, допущенные в области кадастра в последние годы и некоторые последствия неверной государственной политики в области кадастра. Можно долго рассуждать о плюсах и минусах сегодняшнего устройства системы ведения кадастра недвижимости, но можно сказать точно, что оно недостаточно эффективно.</w:t>
      </w:r>
    </w:p>
    <w:p w:rsidR="00E93523" w:rsidRDefault="00E93523" w:rsidP="00E9352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последние годы систему кадастра сильно лихорадит, бесконечно меняются руководители и начальники на местах под лозунгом борьбы с коррупцией, специалисты, отработавшие много лет в этой сфере, становятся ненужными. Все это отрицательно сказывается на процессе повышения эффективности этой системы и люди не ощущают каких-либо положительных сдвигов. Наоборот, когда что-то меняется, невольно думаешь, что выстраивается какая-то новая коррупционная схема. Но самое интересное, что схема, как таковая, не меняется, меняются лишь фигуры в ней. Вывод напрашивается сам собой - такой схемы и других подобных быть не должно.</w:t>
      </w:r>
    </w:p>
    <w:p w:rsidR="00E93523" w:rsidRDefault="00E93523" w:rsidP="00E9352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Государственные чиновники повсеместно говорят о том, как полезен кадастр, отчитываются о сделанном, но умалчивают о том, что эта сфера погрязла в коррупции на всех уровнях, начиная от федерального, заканчивая муниципальным. Ни для кого не секрет, что внесение в государственный кадастр сведений об объектах недвижимости идет очень медленными темпами.</w:t>
      </w:r>
    </w:p>
    <w:p w:rsidR="00E93523" w:rsidRDefault="00E93523" w:rsidP="00E9352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Постоянно перестраивается структура органов государственной власти в сфере кадастровых отношений, меняются названия подразделений, занимающихся вопросами ГКН, руководители разных уровней. Иногда складывается впечатление, что все это придуманная кем-то игра. Сложно подсчитать количество и оценить масштабы перестановок и переустройства за сравнительно короткий срок в этом управлении. Да и самого названия «Государственный кадастр недвижимости» еще недавно не существовало, а был государственный земельный кадастр и технический учет строений и сооружений.</w:t>
      </w:r>
    </w:p>
    <w:p w:rsidR="00E93523" w:rsidRDefault="00E93523" w:rsidP="00E93523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Существующая система и производимые внутри нее действия и изменения не влияют положительно на результаты ведения государственного кадастра недвижимости. На примере нескольких территориальных управлений Росреестра и по РФ в целом, видно, что регистрация прав собственности на земельные участки, а также договоров аренды земельных участков, находящихся в государственной и муниципальной собственности идет очень низкими темпами.</w:t>
      </w:r>
    </w:p>
    <w:p w:rsidR="00E93523" w:rsidRPr="00E93523" w:rsidRDefault="00E93523" w:rsidP="00E93523">
      <w:pPr>
        <w:spacing w:line="360" w:lineRule="auto"/>
        <w:rPr>
          <w:rFonts w:ascii="Times New Roman" w:hAnsi="Times New Roman"/>
          <w:sz w:val="28"/>
        </w:rPr>
      </w:pPr>
      <w:bookmarkStart w:id="0" w:name="_GoBack"/>
      <w:bookmarkEnd w:id="0"/>
    </w:p>
    <w:sectPr w:rsidR="00E93523" w:rsidRPr="00E93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B0DB5"/>
    <w:multiLevelType w:val="multilevel"/>
    <w:tmpl w:val="9508024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003C9A"/>
    <w:multiLevelType w:val="hybridMultilevel"/>
    <w:tmpl w:val="11821D50"/>
    <w:lvl w:ilvl="0" w:tplc="7A98A928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61B"/>
    <w:rsid w:val="003D6F20"/>
    <w:rsid w:val="0071761B"/>
    <w:rsid w:val="00E93523"/>
    <w:rsid w:val="00F5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69D5A-7D6B-4618-B1CA-DE811FDC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523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1770</Words>
  <Characters>10089</Characters>
  <Application>Microsoft Office Word</Application>
  <DocSecurity>0</DocSecurity>
  <Lines>84</Lines>
  <Paragraphs>23</Paragraphs>
  <ScaleCrop>false</ScaleCrop>
  <Company>Microsoft</Company>
  <LinksUpToDate>false</LinksUpToDate>
  <CharactersWithSpaces>11836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2014-06-23T13:15:00Z</dcterms:created>
  <dcterms:modified xsi:type="dcterms:W3CDTF">2014-06-23T13:15:00Z</dcterms:modified>
</cp:coreProperties>
</file>