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721" w:rsidRPr="00D44949" w:rsidRDefault="00232721" w:rsidP="00232721">
      <w:pPr>
        <w:spacing w:before="120"/>
        <w:jc w:val="center"/>
        <w:rPr>
          <w:b/>
          <w:bCs/>
          <w:sz w:val="32"/>
          <w:szCs w:val="32"/>
        </w:rPr>
      </w:pPr>
      <w:r w:rsidRPr="00D44949">
        <w:rPr>
          <w:b/>
          <w:bCs/>
          <w:sz w:val="32"/>
          <w:szCs w:val="32"/>
        </w:rPr>
        <w:t>Этноэкономика в судьбах модернизации юга России</w:t>
      </w:r>
    </w:p>
    <w:p w:rsidR="00232721" w:rsidRPr="00D44949" w:rsidRDefault="00232721" w:rsidP="00232721">
      <w:pPr>
        <w:spacing w:before="120"/>
        <w:jc w:val="center"/>
        <w:rPr>
          <w:sz w:val="28"/>
          <w:szCs w:val="28"/>
        </w:rPr>
      </w:pPr>
      <w:r w:rsidRPr="00D44949">
        <w:rPr>
          <w:sz w:val="28"/>
          <w:szCs w:val="28"/>
        </w:rPr>
        <w:t>Ю. С. Колесников, доктор экономических наук, профессор, зам. директора Северо-Кавказского НИИ экономических и социальных проблем Ростовского государственного университета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Неэффективность экономической политики, проводимой в целях модернизации полиэтнических регионов, обусловлена недооценкой роли этноэкономики как субъекта национального хозяйства. Представленный в статье исторический анализ данного социокультурного объединения выявляет, что этноэкономика — равноправный сектор хозяйственного комплекса Юга России, обеспечивающий экономическую устойчивость этносов даже в условиях глубокого и продолжительного экономического кризиса.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В КОНТЕКСТЕ уровневого структурирования экономики в теоретической ее модели выделяются, как известно, макро-, мезо- и микроуровни. К уровню мезоэкономики, как правило, относятся отраслевое, межотраслевое, региональное структурные образования.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Однако, как показывает практика полиэтнических обществ, на уровне мезоэкономики существует еще один сегмент национального хозяйства, почти «ненаблюдаемый» статистикой и налоговыми органами. Этноэкономика и исторический опыт Юга России и Северного Кавказа в особенности подтверждают этот тезис.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А между тем неудачи и провалы попыток модернизации полиэтничных регионов во многом объясняются или «невосприимчивостью» государственной экономической политики в процессе реформации данного сегмента экономики, или заблуждениями в оценке его действительной роли в экономической жизни.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Роль «этнических» регионов в экономическом пространстве России весьма значительна: на долю национальных республик и автономий приходится более 52% территориальных ресурсов страны, 18% ее населения, 21,7% основных фондов отраслей экономики [7].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Под этноэкономикой мы понимаем территориально-локализованный исторически сложившийся на базе хозяйственного уклада этноса сегмент экономики, характеризуемый господством традиционных, преимущественно аграрных форм хозяйственной деятельности, натуральных и мелкотоварных форм производства, с доминированием ручного труда, неразвитостью обмена, замкнутостью домохозяйств, использованием кустарных ремесел, надомного труда, «отходничества» и т.п.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Социальное пространство полиэтнических регионов России, и Северного</w:t>
      </w:r>
      <w:r>
        <w:t xml:space="preserve"> </w:t>
      </w:r>
      <w:r w:rsidRPr="009C6909">
        <w:t>Кавказа в частности, воспроизводит такого рода отношения, которые формируют этнокультурные общности в качестве социальных и экономических субъектов исторического процесса.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Этносы обладают собственной идентичностью и самоназванием, уникальной совокупностью культурных характеристик, в основе которых лежит локализация этносов в определенном физическом пространстве.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Статусно-экономические позиции автохтонных этносов Северного Кавказа, в силу сохранения ими в значительной мере агропромышленного характера функционирования хозяйства, определяются, в первую очередь, размером и качеством занимаемой ими территории, доступностью к ресурсам и совокупностью демографических характеристик.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Территориальная локализация, определяя одинаковость условий жизни, является значимой причиной, обуславливающей организационную жизнедеятельность людей в этих природных условиях.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Характерная черта этой организации — высокий уровень внутренней кон-солидированности, который объясняется суровыми условиями жизни в горах, природной изолированностью поселений и традиционно-общинными отношениями внутри социума. Поселенческая локализация определяет на Северном Кавказе не только специфику культурных черт, но и различия экономических форм деятельности и возможности жизнеобеспечения.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Автохтонные этносы Северного Кавказа характеризуются сохранением в значительной степени аграрно-традици-онной культуры.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Исторический анализ социальной структуры народов региона показывает, что к моменту их присоединения к Российской империи они находились на разных этапах социально-экономического развития. Общественный строй большинства народов Северного Кавказа кавказоведы характеризуют как полупатриархальный-полуфеодальный.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Межродовое расслоение зависело от места расположения земель того или иного рода, определяя трудовую специализацию, обмен продуктами, уровень экономического развития в целом.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В горных районах практически у всех этнических групп сохранились в той или иной форме институты общинной самоорганизации (тейпы, тухумы и др.) и городские собрания как форма самоуправления. Горцы в большой степени сохранили нормы общинного права (адаты), более жесткий контроль за экзогамией, установку на большие семьи, куначество, соседскую взаимопомощь и др. [2].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Сохранились две тенденции: тенденция к региональной интеграции и тенденция к межрегиональной конкуренции, «разрывающей» социокультурную ткань региона.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В этноэкономике используется большая часть сырьевых ресурсов, производимых частным образом, и значительная часть ресурсов общественного сектора экономики.</w:t>
      </w:r>
      <w:r>
        <w:t xml:space="preserve"> 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40—45% населения региона, отнесенные статистикой к «экономически неактивному населению» и регистрируемые ею в регионах расселения этносов Северного Кавказа, как раз составляют трудовые ресурсы этноэкономики [3].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В секторе этноэкономики производится значительная часть потребляемых товаров массового спроса, 20% продуктов растениеводства, до 75% продукции животноводства [4].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Рыночные реформы на Северном Кавказе усилили различия в уровне социально-экономического развития субъектов РФ, экономическую дифференциацию этносов. По такому, например, интегрированному показателю, как валовой региональный продукт на душу населения, субъекты РФ на Северном Кавказе отличаются друг от друга в 2—3 раза. Экономическое пространство Северного Кавказа представляет собой причудливую смесь элементов «государственной экономики», «рыночной экономики» и «эт-ноэкономики».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Драматизм ситуации в регионе проявился и в том, что этноэкономика оказалась невосприимчивой как к тотально-государственной административно-распределительной системе организации экономики в советский период, так и к рыночной, осуществляемой в России по монетаристской модели в контексте процессов модернизации. Исследования показывают, что реализация проектов рыночных реформ в регионе привела, прежде всего, к свертыванию индустриального сектора экономики, усилению ее сырьевой направленности, атомиза-ции хозяйственной жизни, углублению внутрирегиональной стратификации.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Непопулярность в регионе многих компонентов рыночных реформ, отсутствие последовательной региональной политики в значительной степени дискредитировали саму идею модернизации по западному образцу и заставили политические элиты вернуться к традиционным ценностям этноэкономики.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Это в значительной степени стимулировало процессы региональной идентификации, социально-экономическое позициирование этносов.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Процессы модернизации, характерные для второй половины XX в., наталкивались на консерватизм, невосприимчивость к инновационным импульсам этноэкономики. Советский вариант индустриализации в условиях тотального огосударствления экономики десятилетиями третировал отрасли этноэкономики с их индивидуально-частными формами производства и распределения как питательную среду реставрации капитализма, блокируя определенную связь местной индустрии (особенно переработку) с отраслями этноэкономики.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Экономический кризис в регионах Юга России обнажил явление, скрываемое ранее статистическими данными: созданная в различных республиках региона промышленность мало изменила исторически сложившийся тип хозяйственного уклада этносов.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Основной тип хозяйствования этносов существовал как бы рядом и параллельно с промышленными отраслями, которые обслуживали в основном «народно-хозяйственные» потребности. Учитывая, что раньше места на предприятиях промышленности были заполнены по большинству мигрантами из России [1], можно констатировать, что в рамках этноэкономики было занято 80—90% населения этих регионов (исключение — сферы управления, торговли, здравоохранения, образования, где удельный вес этноса был достаточно высок среди занятых).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Профессиональная дифференциация населения региона, характерная для периода индустриализации, так и не произошла в полном объеме, а новые формы экономической деятельности, вызванные к жизни модернизацией, не превратились в хозяйственный быт местного населения.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Архаично-аграрный тип производства хозяйственной жизни оказался неспособен обеспечивать в полном объеме издержки производства и социальной инфраструктуры, характерные для индустриального общества (наука, образование, здравоохранение, связь, информатика и др.). В силу этого экономика порождает явления субъектной, региональной «дотационности». Бюджеты всех республик Северного Кавказа являются дотационными.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В то же время рыночные преобразования в регионе привели к свертыванию индустриального сектора экономики усилению ее сырьевой направленности, углублению внутрирегиональной стратификации и обнажению этноэкономики как сегмента народного хозяйства.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Экономическая статистика в последние годы фиксирует ряд противоречивых показателей. Так, при общем снижении реальных доходов на душу населения в 1998 г. по России в целом, вызванном финансовым кризисом августа 1998 г., в ряде республик региона (Дагестан, Ингушетия, Северная Осетия, Кабардино-Балкария) значительно вырос объем розничного товарооборота; с характеристикой этих республик как «бедных» и «депрессивных» плохо соотносится ряд социально-экономических показателей, в частности количество автомобилей, находящихся в личной собственности граждан на тысячу человек населения, который всегда выступал в России индикатором высокого материального положения.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Экономисты интерпретируют эти факты активным развитием теневого сектора экономики, особенно большой размах которого фиксируется в Дагестане, Ингушетии, Северной Осетии [5].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Значительная часть этноэкономики находится в тени, точнее — в латентном состоянии по отношению к статистическим и налоговым органам.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Для характеристики этой парадоксальной ситуации используем предложенный специалистами ИНП РАН индекс экономической плотности региона, выраженный как произведение показателя плотности населения на показатель величины денежного дохода на душу населения [10].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Результаты нашего расчета индекса экономической плотности в разрезе регионов — субъектов федерации существенно меняют представление об их экономических потенциалах, уровне экономической активности, «богатых» и «бедных» регионах.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Из таблицы следует, что более высокая экономическая плотность ряда регионов — республик Северного Кавказа предопределят давление на экономическое пространство соседних регионов (Ставропольский край, Краснодарский край, Ростовская область).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Экономическая плотность регионов — субъектов РФ в ЮФО*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"/>
        <w:gridCol w:w="5531"/>
        <w:gridCol w:w="3359"/>
      </w:tblGrid>
      <w:tr w:rsidR="00232721" w:rsidRPr="009C6909" w:rsidTr="00564BB6">
        <w:trPr>
          <w:trHeight w:val="1152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№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Регионы — субъекты Федерации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Показатель экономической плотности региона</w:t>
            </w:r>
          </w:p>
        </w:tc>
      </w:tr>
      <w:tr w:rsidR="00232721" w:rsidRPr="009C6909" w:rsidTr="00564BB6">
        <w:trPr>
          <w:trHeight w:val="37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1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Республика Адыгея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93,4</w:t>
            </w:r>
          </w:p>
        </w:tc>
      </w:tr>
      <w:tr w:rsidR="00232721" w:rsidRPr="009C6909" w:rsidTr="00564BB6">
        <w:trPr>
          <w:trHeight w:val="37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2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Республика Дагестан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61,4</w:t>
            </w:r>
          </w:p>
        </w:tc>
      </w:tr>
      <w:tr w:rsidR="00232721" w:rsidRPr="009C6909" w:rsidTr="00564BB6">
        <w:trPr>
          <w:trHeight w:val="38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3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Республика Ингушетия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93,4</w:t>
            </w:r>
          </w:p>
        </w:tc>
      </w:tr>
      <w:tr w:rsidR="00232721" w:rsidRPr="009C6909" w:rsidTr="00564BB6">
        <w:trPr>
          <w:trHeight w:val="62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4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Республика Кабардино-Балкария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99,8</w:t>
            </w:r>
          </w:p>
        </w:tc>
      </w:tr>
      <w:tr w:rsidR="00232721" w:rsidRPr="009C6909" w:rsidTr="00564BB6">
        <w:trPr>
          <w:trHeight w:val="38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5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Республика Калмыкия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5,8</w:t>
            </w:r>
          </w:p>
        </w:tc>
      </w:tr>
      <w:tr w:rsidR="00232721" w:rsidRPr="009C6909" w:rsidTr="00564BB6">
        <w:trPr>
          <w:trHeight w:val="63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6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Карачаево-Черкесская Республика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43,6</w:t>
            </w:r>
          </w:p>
        </w:tc>
      </w:tr>
      <w:tr w:rsidR="00232721" w:rsidRPr="009C6909" w:rsidTr="00564BB6">
        <w:trPr>
          <w:trHeight w:val="62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7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Республика Северная Осетия — Алания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198,7</w:t>
            </w:r>
          </w:p>
        </w:tc>
      </w:tr>
      <w:tr w:rsidR="00232721" w:rsidRPr="009C6909" w:rsidTr="00564BB6">
        <w:trPr>
          <w:trHeight w:val="38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8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Чеченская Республика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—</w:t>
            </w:r>
          </w:p>
        </w:tc>
      </w:tr>
      <w:tr w:rsidR="00232721" w:rsidRPr="009C6909" w:rsidTr="00564BB6">
        <w:trPr>
          <w:trHeight w:val="37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9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Краснодарский край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145,1</w:t>
            </w:r>
          </w:p>
        </w:tc>
      </w:tr>
      <w:tr w:rsidR="00232721" w:rsidRPr="009C6909" w:rsidTr="00564BB6">
        <w:trPr>
          <w:trHeight w:val="37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10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Ставропольский край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65,0</w:t>
            </w:r>
          </w:p>
        </w:tc>
      </w:tr>
      <w:tr w:rsidR="00232721" w:rsidRPr="009C6909" w:rsidTr="00564BB6">
        <w:trPr>
          <w:trHeight w:val="38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11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Астраханская область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47,4</w:t>
            </w:r>
          </w:p>
        </w:tc>
      </w:tr>
      <w:tr w:rsidR="00232721" w:rsidRPr="009C6909" w:rsidTr="00564BB6">
        <w:trPr>
          <w:trHeight w:val="37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12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Волгоградская область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39,2</w:t>
            </w:r>
          </w:p>
        </w:tc>
      </w:tr>
      <w:tr w:rsidR="00232721" w:rsidRPr="009C6909" w:rsidTr="00564BB6">
        <w:trPr>
          <w:trHeight w:val="394"/>
        </w:trPr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13</w:t>
            </w:r>
          </w:p>
        </w:tc>
        <w:tc>
          <w:tcPr>
            <w:tcW w:w="2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Ростовская область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721" w:rsidRPr="009C6909" w:rsidRDefault="00232721" w:rsidP="00564BB6">
            <w:r w:rsidRPr="009C6909">
              <w:t>101,6</w:t>
            </w:r>
          </w:p>
        </w:tc>
      </w:tr>
    </w:tbl>
    <w:p w:rsidR="00232721" w:rsidRPr="009C6909" w:rsidRDefault="00232721" w:rsidP="00232721">
      <w:pPr>
        <w:spacing w:before="120"/>
        <w:ind w:firstLine="567"/>
        <w:jc w:val="both"/>
      </w:pPr>
      <w:r w:rsidRPr="009C6909">
        <w:t>*Рассчитано по: [8, с. 36—37].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Итак, этноэкономика — равноправный сектор хозяйственного комплекса Юга России, обеспечивающий, как показал исторический опыт, экономическую устойчивость этносов даже в условиях глубокого и продолжительного экономического кризиса, смягчающий удары economy transition.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Поэтому успешной в регионе может быть лишь та экономическая политика, которая способна соединить корпоративный, «большой» сектор этноэкономики и ее «мелкий» сектор, найти и реализовать механизмы их взаимодействия, органически «вписать» мелкотоварные формы труда и производства в развивающуюся на корпоративной основе предпринимательскую деятельность.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В сфере этноэкономики предпринимательская деятельность имеет ресурсно-хозяйственную базу для развития в следующих «подотраслях» мелкотоварного производства1: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I.</w:t>
      </w:r>
      <w:r>
        <w:t xml:space="preserve"> </w:t>
      </w:r>
      <w:r w:rsidRPr="009C6909">
        <w:t>Подотрасли</w:t>
      </w:r>
      <w:r>
        <w:t xml:space="preserve"> </w:t>
      </w:r>
      <w:r w:rsidRPr="009C6909">
        <w:t>переработки</w:t>
      </w:r>
      <w:r>
        <w:t xml:space="preserve"> </w:t>
      </w:r>
      <w:r w:rsidRPr="009C6909">
        <w:t>продукции аграрного сектора экономики: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изготовление</w:t>
      </w:r>
      <w:r>
        <w:t xml:space="preserve"> </w:t>
      </w:r>
      <w:r w:rsidRPr="009C6909">
        <w:t>изделий</w:t>
      </w:r>
      <w:r>
        <w:t xml:space="preserve"> </w:t>
      </w:r>
      <w:r w:rsidRPr="009C6909">
        <w:t>из</w:t>
      </w:r>
      <w:r>
        <w:t xml:space="preserve"> </w:t>
      </w:r>
      <w:r w:rsidRPr="009C6909">
        <w:t>меха, шерсти, кожи;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производство</w:t>
      </w:r>
      <w:r>
        <w:t xml:space="preserve"> </w:t>
      </w:r>
      <w:r w:rsidRPr="009C6909">
        <w:t>ковров,</w:t>
      </w:r>
      <w:r>
        <w:t xml:space="preserve"> </w:t>
      </w:r>
      <w:r w:rsidRPr="009C6909">
        <w:t>войлока, красок из растительного сырья;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переработка молока, грибов, лесных плодов и ягод;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приготовление домашнего сыра, вяленого мяса, копченостей;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розлив минеральной воды;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переработка винограда, фруктов.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II.</w:t>
      </w:r>
      <w:r>
        <w:t xml:space="preserve"> </w:t>
      </w:r>
      <w:r w:rsidRPr="009C6909">
        <w:t>Подотрасли</w:t>
      </w:r>
      <w:r>
        <w:t xml:space="preserve"> </w:t>
      </w:r>
      <w:r w:rsidRPr="009C6909">
        <w:t>по</w:t>
      </w:r>
      <w:r>
        <w:t xml:space="preserve"> </w:t>
      </w:r>
      <w:r w:rsidRPr="009C6909">
        <w:t>производству промышленных</w:t>
      </w:r>
      <w:r>
        <w:t xml:space="preserve"> </w:t>
      </w:r>
      <w:r w:rsidRPr="009C6909">
        <w:t>товаров массового спроса: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производство строительных и отделочных</w:t>
      </w:r>
      <w:r>
        <w:t xml:space="preserve"> </w:t>
      </w:r>
      <w:r w:rsidRPr="009C6909">
        <w:t>материалов</w:t>
      </w:r>
      <w:r>
        <w:t xml:space="preserve"> </w:t>
      </w:r>
      <w:r w:rsidRPr="009C6909">
        <w:t>из</w:t>
      </w:r>
      <w:r>
        <w:t xml:space="preserve"> </w:t>
      </w:r>
      <w:r w:rsidRPr="009C6909">
        <w:t>имеющегося</w:t>
      </w:r>
      <w:r>
        <w:t xml:space="preserve"> </w:t>
      </w:r>
      <w:r w:rsidRPr="009C6909">
        <w:t>в республике</w:t>
      </w:r>
      <w:r>
        <w:t xml:space="preserve"> </w:t>
      </w:r>
      <w:r w:rsidRPr="009C6909">
        <w:t>минерального сырья;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выпуск</w:t>
      </w:r>
      <w:r>
        <w:t xml:space="preserve"> </w:t>
      </w:r>
      <w:r w:rsidRPr="009C6909">
        <w:t>красителей</w:t>
      </w:r>
      <w:r>
        <w:t xml:space="preserve"> </w:t>
      </w:r>
      <w:r w:rsidRPr="009C6909">
        <w:t>из натурального сырья;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изготовление мебели, дверей, подоконников и т.д. из дерева ценных и менее ценных пород;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переработка</w:t>
      </w:r>
      <w:r>
        <w:t xml:space="preserve"> </w:t>
      </w:r>
      <w:r w:rsidRPr="009C6909">
        <w:t>овечьей</w:t>
      </w:r>
      <w:r>
        <w:t xml:space="preserve"> </w:t>
      </w:r>
      <w:r w:rsidRPr="009C6909">
        <w:t>и</w:t>
      </w:r>
      <w:r>
        <w:t xml:space="preserve"> </w:t>
      </w:r>
      <w:r w:rsidRPr="009C6909">
        <w:t>козьей шерсти и вязание из нее высококачественных пуховых и шерстяных изделий, а также обработка кож и изготовление изделий из них;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изготовление сувениров, прикладов для ружей, шахмат, нард из отходов деревообработки, поделок и посуды из хлебных злаков, бересты и др.;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производство изделий из серебра, поделочных и полудрагоценных камней и т.п.;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выпуск подушек, одеял из пуха и пера гусей, индюков, уток и др.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III.</w:t>
      </w:r>
      <w:r>
        <w:t xml:space="preserve"> </w:t>
      </w:r>
      <w:r w:rsidRPr="009C6909">
        <w:t>Подотрасли по сбору и переработке дикорастущих растений и их плодов: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1</w:t>
      </w:r>
      <w:r>
        <w:t xml:space="preserve"> </w:t>
      </w:r>
      <w:r w:rsidRPr="009C6909">
        <w:t>Систематизировано</w:t>
      </w:r>
      <w:r>
        <w:t xml:space="preserve"> </w:t>
      </w:r>
      <w:r w:rsidRPr="009C6909">
        <w:t>по</w:t>
      </w:r>
      <w:r>
        <w:t xml:space="preserve"> </w:t>
      </w:r>
      <w:r w:rsidRPr="009C6909">
        <w:t>монографии А.Х. Тамбиева [9].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изготовление</w:t>
      </w:r>
      <w:r>
        <w:t xml:space="preserve"> </w:t>
      </w:r>
      <w:r w:rsidRPr="009C6909">
        <w:t>концентратов</w:t>
      </w:r>
      <w:r>
        <w:t xml:space="preserve"> </w:t>
      </w:r>
      <w:r w:rsidRPr="009C6909">
        <w:t>из кизила, облепихи, калины, орехов и др.;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сбор лекарственных трав;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собирание и обработка грибов.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Развитие этих подотраслей этноэкономики во взаимосвязи с корпоративной «большой» экономикой обеспечит: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расширение сырьевой базы предприятий переработки;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дополнительную занятость населения,</w:t>
      </w:r>
      <w:r>
        <w:t xml:space="preserve"> </w:t>
      </w:r>
      <w:r w:rsidRPr="009C6909">
        <w:t>в том числе с неполным рабочим днем и т.п. (этноэконо-мика — это «гибкие» формы занятости);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рост</w:t>
      </w:r>
      <w:r>
        <w:t xml:space="preserve"> </w:t>
      </w:r>
      <w:r w:rsidRPr="009C6909">
        <w:t>налогооблагаемой</w:t>
      </w:r>
      <w:r>
        <w:t xml:space="preserve"> </w:t>
      </w:r>
      <w:r w:rsidRPr="009C6909">
        <w:t>базы</w:t>
      </w:r>
      <w:r>
        <w:t xml:space="preserve"> </w:t>
      </w:r>
      <w:r w:rsidRPr="009C6909">
        <w:t>и средств местных бюджетов;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•</w:t>
      </w:r>
      <w:r>
        <w:t xml:space="preserve"> </w:t>
      </w:r>
      <w:r w:rsidRPr="009C6909">
        <w:t>создание «паутины» малого бизнеса и развитие социальной инфраструктуры.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Концепции федеральной региональной политики на Юге России не должны быть заложниками сложившейся в 1993—1997 гг. системы бюджетных дотаций, субвенций и субсидий, социальных трансфертов, преференций и льгот в области налогообложения, тарифов, таможенных пошлин, квот и т.п., предоставляемых субъектам РФ.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Мы разделяем здесь позицию О.С. Пчелинцева [б] о том, что в этой политике должен действовать принцип Парето: никакой экономический рост, никакое перераспределение ресурсов не должны ухудшать положения одних субъектов (регионов) по отношению к другим.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Региональная экономическая политика, ориентированная на органичное использование в системе действующих организационно-экономических форм хозяйствования структур этноэкономики, включение ее немалого потенциала в корпоративную экономику (и тем самым «облагораживание» ее), по-видимому, обеспечит более органичную модернизацию кавказских обществ.</w:t>
      </w:r>
    </w:p>
    <w:p w:rsidR="00232721" w:rsidRPr="00D44949" w:rsidRDefault="00232721" w:rsidP="00232721">
      <w:pPr>
        <w:spacing w:before="120"/>
        <w:jc w:val="center"/>
        <w:rPr>
          <w:b/>
          <w:bCs/>
          <w:sz w:val="28"/>
          <w:szCs w:val="28"/>
        </w:rPr>
      </w:pPr>
      <w:r w:rsidRPr="00D44949">
        <w:rPr>
          <w:b/>
          <w:bCs/>
          <w:sz w:val="28"/>
          <w:szCs w:val="28"/>
        </w:rPr>
        <w:t>Список литературы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1.</w:t>
      </w:r>
      <w:r>
        <w:t xml:space="preserve"> </w:t>
      </w:r>
      <w:r w:rsidRPr="009C6909">
        <w:t>БелозероЗ B.C. Этнодемографические процессы на Северном Кавказе. Ставрополь: Изд-во СтГУ, 2000.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2.</w:t>
      </w:r>
      <w:r>
        <w:t xml:space="preserve"> </w:t>
      </w:r>
      <w:r w:rsidRPr="009C6909">
        <w:t>Денисова Г.С., РадоЗаль М.Р. Этноэкономика. Ростов н/Д: Изд-во 000 «ЦВВР», 2000.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3.</w:t>
      </w:r>
      <w:r>
        <w:t xml:space="preserve"> </w:t>
      </w:r>
      <w:r w:rsidRPr="009C6909">
        <w:t>Игнатов В.Г., Бутов В.И. Экономическое развитие на Юге России и проблемы управления им. Ростов н/Д: Изд-во СКАГС, 2000.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4.</w:t>
      </w:r>
      <w:r>
        <w:t xml:space="preserve"> </w:t>
      </w:r>
      <w:r w:rsidRPr="009C6909">
        <w:t>Игнатов В.Г., Бутов В.И. Юг России. Ростов н/Д: Изд-во СКАГС, 2002.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5.</w:t>
      </w:r>
      <w:r>
        <w:t xml:space="preserve"> </w:t>
      </w:r>
      <w:r w:rsidRPr="009C6909">
        <w:t>Межэтнические отношения и конфликты в постсоветских</w:t>
      </w:r>
      <w:r>
        <w:t xml:space="preserve"> </w:t>
      </w:r>
      <w:r w:rsidRPr="009C6909">
        <w:t>государствах.</w:t>
      </w:r>
      <w:r>
        <w:t xml:space="preserve"> </w:t>
      </w:r>
      <w:r w:rsidRPr="009C6909">
        <w:t>Ежегодный</w:t>
      </w:r>
      <w:r>
        <w:t xml:space="preserve"> </w:t>
      </w:r>
      <w:r w:rsidRPr="009C6909">
        <w:t>доклад сети экономического мониторинга и раннего предупреждения конфликтов. М., 1997.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6. Пчелинцев О.Г. Проблемы социально-экономического</w:t>
      </w:r>
      <w:r>
        <w:t xml:space="preserve"> </w:t>
      </w:r>
      <w:r w:rsidRPr="009C6909">
        <w:t>обоснования</w:t>
      </w:r>
      <w:r>
        <w:t xml:space="preserve"> </w:t>
      </w:r>
      <w:r w:rsidRPr="009C6909">
        <w:t>региональной политики // Проблемы прогнозирования. 2002. № 1.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7.</w:t>
      </w:r>
      <w:r>
        <w:t xml:space="preserve"> </w:t>
      </w:r>
      <w:r w:rsidRPr="009C6909">
        <w:t>Регионы России: Стат. сб.: В 2 т. Т. 2. М., 2000.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8.</w:t>
      </w:r>
      <w:r>
        <w:t xml:space="preserve"> </w:t>
      </w:r>
      <w:r w:rsidRPr="009C6909">
        <w:t>Россия в цифрах. М., 2002.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9.</w:t>
      </w:r>
      <w:r>
        <w:t xml:space="preserve"> </w:t>
      </w:r>
      <w:r w:rsidRPr="009C6909">
        <w:t>Тамбиев А.Х.</w:t>
      </w:r>
      <w:r>
        <w:t xml:space="preserve"> </w:t>
      </w:r>
      <w:r w:rsidRPr="009C6909">
        <w:t>Регион</w:t>
      </w:r>
      <w:r>
        <w:t xml:space="preserve"> </w:t>
      </w:r>
      <w:r w:rsidRPr="009C6909">
        <w:t>в</w:t>
      </w:r>
      <w:r>
        <w:t xml:space="preserve"> </w:t>
      </w:r>
      <w:r w:rsidRPr="009C6909">
        <w:t>системе</w:t>
      </w:r>
      <w:r>
        <w:t xml:space="preserve"> </w:t>
      </w:r>
      <w:r w:rsidRPr="009C6909">
        <w:t>национальной экономики. М.: Экономика, 1999.</w:t>
      </w:r>
    </w:p>
    <w:p w:rsidR="00232721" w:rsidRPr="009C6909" w:rsidRDefault="00232721" w:rsidP="00232721">
      <w:pPr>
        <w:spacing w:before="120"/>
        <w:ind w:firstLine="567"/>
        <w:jc w:val="both"/>
      </w:pPr>
      <w:r w:rsidRPr="009C6909">
        <w:t>10. Узяков М.И. Трансформация российской экономики и возможности экономического роста. М.: ИСЭПН, 2000.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721"/>
    <w:rsid w:val="00095BA6"/>
    <w:rsid w:val="00100BCE"/>
    <w:rsid w:val="00151951"/>
    <w:rsid w:val="00232721"/>
    <w:rsid w:val="0031418A"/>
    <w:rsid w:val="00564BB6"/>
    <w:rsid w:val="005A2562"/>
    <w:rsid w:val="009C6909"/>
    <w:rsid w:val="00A44D32"/>
    <w:rsid w:val="00D4494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B33B160-926F-4A6B-9129-0669C3E0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72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327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13124</Characters>
  <Application>Microsoft Office Word</Application>
  <DocSecurity>0</DocSecurity>
  <Lines>109</Lines>
  <Paragraphs>30</Paragraphs>
  <ScaleCrop>false</ScaleCrop>
  <Company>Home</Company>
  <LinksUpToDate>false</LinksUpToDate>
  <CharactersWithSpaces>15396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Этноэкономика в судьбах модернизации юга России</dc:title>
  <dc:subject/>
  <dc:creator>Alena</dc:creator>
  <cp:keywords/>
  <dc:description/>
  <cp:lastModifiedBy>Irina</cp:lastModifiedBy>
  <cp:revision>2</cp:revision>
  <dcterms:created xsi:type="dcterms:W3CDTF">2014-08-07T15:03:00Z</dcterms:created>
  <dcterms:modified xsi:type="dcterms:W3CDTF">2014-08-07T15:03:00Z</dcterms:modified>
</cp:coreProperties>
</file>