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405" w:rsidRDefault="00FB3405">
      <w:pPr>
        <w:widowControl w:val="0"/>
        <w:spacing w:before="12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Экономика стран Азии выздоравливает</w:t>
      </w:r>
    </w:p>
    <w:p w:rsidR="00FB3405" w:rsidRDefault="00FB3405">
      <w:pPr>
        <w:widowControl w:val="0"/>
        <w:spacing w:before="12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Китай остается самой динамичной экономикой Азии</w:t>
      </w:r>
    </w:p>
    <w:p w:rsidR="00FB3405" w:rsidRDefault="00FB3405">
      <w:pPr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Средние темпы роста развивающихся экономик стран Азии составят, по данным Азиатского банка развития, в этом году 4,8%, что выше прошлогоднего уровня. Состояние японской экономики в этом прогнозе не учитывалось.  </w:t>
      </w:r>
    </w:p>
    <w:p w:rsidR="00FB3405" w:rsidRDefault="00FB3405">
      <w:pPr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В 2001 году средние темпы роста региона, который до сих пор оправляется от последствий тяжелого экономического кризиса 1997-98 годов, составили 3,7%.  </w:t>
      </w:r>
    </w:p>
    <w:p w:rsidR="00FB3405" w:rsidRDefault="00FB3405">
      <w:pPr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Эксперты полагают, что удивляющая многих экономическая прочность Европы и США приведет к росту спроса на экспорт из стран Азии, в особенности высокотехнологичной продукции, на которой во многом основана экономика региона. </w:t>
      </w:r>
    </w:p>
    <w:p w:rsidR="00FB3405" w:rsidRDefault="00FB3405">
      <w:pPr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Впрочем, Азиатский банк развития предупреждает, что проблемы безопасности сохранение высоких цен на нефть угрожают экономическим перспективам региона. </w:t>
      </w:r>
    </w:p>
    <w:p w:rsidR="00FB3405" w:rsidRDefault="00FB3405">
      <w:pPr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Предсказания банка основываются на средней цене нефти не выше 25 долларов зa баррель. В данные за прошлый год была заложена цена 19,80 доллара за баррель. </w:t>
      </w:r>
    </w:p>
    <w:p w:rsidR="00FB3405" w:rsidRDefault="00FB3405">
      <w:pPr>
        <w:widowControl w:val="0"/>
        <w:spacing w:before="12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Надежды и опасения </w:t>
      </w:r>
    </w:p>
    <w:p w:rsidR="00FB3405" w:rsidRDefault="00FB3405">
      <w:pPr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Важную роль в оптимистическом прогнозе играет экономическое выздоровление США, которое, как считают многие, происходит быстрее, чем ожидалось. </w:t>
      </w:r>
    </w:p>
    <w:p w:rsidR="00FB3405" w:rsidRDefault="00FB3405">
      <w:pPr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США являются крупнейшим потребителем произведенных в Азии высокотехнологичных товаров. Впрочем, банк предупреждает о рисках, остающихся внутри экономик самого региона. </w:t>
      </w:r>
    </w:p>
    <w:p w:rsidR="00FB3405" w:rsidRDefault="00FB3405">
      <w:pPr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Особую озабоченность вызывает экономика Японии, не включенная в прогноз. Банк обратил внимание и на медленную реформу банковского сектора. Тот факт, что темпы экономического роста прежде всего связаны со спросом на высокотехнологичную продукцию, означает, что не на все страны это окажет в одинаковой степени позитивное влияние. </w:t>
      </w:r>
    </w:p>
    <w:p w:rsidR="00FB3405" w:rsidRDefault="00FB3405">
      <w:pPr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Ожидается, что темпы роста самой динамичной экономики региона - китайской - слегка снизятся, составив 7% вместо 7,3% в 2001 году. Впрочем, по прогнозу того же банка, в 2003 году экономика Китая вырастет на 7,4%. </w:t>
      </w:r>
    </w:p>
    <w:p w:rsidR="00FB3405" w:rsidRDefault="00FB3405">
      <w:pPr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</w:p>
    <w:tbl>
      <w:tblPr>
        <w:tblW w:w="307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5"/>
      </w:tblGrid>
      <w:tr w:rsidR="00FB3405" w:rsidRPr="00FB3405">
        <w:trPr>
          <w:trHeight w:val="1305"/>
          <w:tblCellSpacing w:w="0" w:type="dxa"/>
          <w:jc w:val="center"/>
        </w:trPr>
        <w:tc>
          <w:tcPr>
            <w:tcW w:w="3075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FB3405" w:rsidRPr="00FB3405" w:rsidRDefault="00FB3405">
            <w:pPr>
              <w:widowControl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FB3405">
              <w:rPr>
                <w:color w:val="000000"/>
              </w:rPr>
              <w:t xml:space="preserve">Прогноз на 2002 год </w:t>
            </w:r>
          </w:p>
          <w:p w:rsidR="00FB3405" w:rsidRPr="00FB3405" w:rsidRDefault="00FB3405">
            <w:pPr>
              <w:widowControl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FB3405">
              <w:rPr>
                <w:color w:val="000000"/>
              </w:rPr>
              <w:t>Китай: 7%</w:t>
            </w:r>
          </w:p>
          <w:p w:rsidR="00FB3405" w:rsidRPr="00FB3405" w:rsidRDefault="00FB3405">
            <w:pPr>
              <w:widowControl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FB3405">
              <w:rPr>
                <w:color w:val="000000"/>
              </w:rPr>
              <w:t>Индия: 6%</w:t>
            </w:r>
          </w:p>
          <w:p w:rsidR="00FB3405" w:rsidRPr="00FB3405" w:rsidRDefault="00FB3405">
            <w:pPr>
              <w:widowControl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FB3405">
              <w:rPr>
                <w:color w:val="000000"/>
              </w:rPr>
              <w:t>Южная Корея: 4,8%</w:t>
            </w:r>
          </w:p>
          <w:p w:rsidR="00FB3405" w:rsidRPr="00FB3405" w:rsidRDefault="00FB3405">
            <w:pPr>
              <w:widowControl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FB3405">
              <w:rPr>
                <w:color w:val="000000"/>
              </w:rPr>
              <w:t>Индонезия: 4,5%</w:t>
            </w:r>
          </w:p>
          <w:p w:rsidR="00FB3405" w:rsidRPr="00FB3405" w:rsidRDefault="00FB3405">
            <w:pPr>
              <w:widowControl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FB3405">
              <w:rPr>
                <w:color w:val="000000"/>
              </w:rPr>
              <w:t>Малайзия: 4,2%</w:t>
            </w:r>
          </w:p>
          <w:p w:rsidR="00FB3405" w:rsidRPr="00FB3405" w:rsidRDefault="00FB3405">
            <w:pPr>
              <w:widowControl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FB3405">
              <w:rPr>
                <w:color w:val="000000"/>
              </w:rPr>
              <w:t>Филиппины: 4%</w:t>
            </w:r>
          </w:p>
          <w:p w:rsidR="00FB3405" w:rsidRPr="00FB3405" w:rsidRDefault="00FB3405">
            <w:pPr>
              <w:widowControl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FB3405">
              <w:rPr>
                <w:color w:val="000000"/>
              </w:rPr>
              <w:t>Сингапур: 3,7%</w:t>
            </w:r>
          </w:p>
          <w:p w:rsidR="00FB3405" w:rsidRPr="00FB3405" w:rsidRDefault="00FB3405">
            <w:pPr>
              <w:widowControl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FB3405">
              <w:rPr>
                <w:color w:val="000000"/>
              </w:rPr>
              <w:t>Пакистан: 3%</w:t>
            </w:r>
          </w:p>
          <w:p w:rsidR="00FB3405" w:rsidRPr="00FB3405" w:rsidRDefault="00FB3405">
            <w:pPr>
              <w:widowControl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FB3405">
              <w:rPr>
                <w:color w:val="000000"/>
              </w:rPr>
              <w:t>Тайвань: 2,8%</w:t>
            </w:r>
          </w:p>
          <w:p w:rsidR="00FB3405" w:rsidRPr="00FB3405" w:rsidRDefault="00FB3405">
            <w:pPr>
              <w:widowControl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FB3405">
              <w:rPr>
                <w:color w:val="000000"/>
              </w:rPr>
              <w:t>Таиланд: 2,5%</w:t>
            </w:r>
          </w:p>
          <w:p w:rsidR="00FB3405" w:rsidRPr="00FB3405" w:rsidRDefault="00FB3405">
            <w:pPr>
              <w:widowControl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FB3405">
              <w:rPr>
                <w:color w:val="000000"/>
              </w:rPr>
              <w:t xml:space="preserve">Гонконг: 2,1% </w:t>
            </w:r>
          </w:p>
        </w:tc>
      </w:tr>
    </w:tbl>
    <w:p w:rsidR="00FB3405" w:rsidRDefault="00FB3405">
      <w:pPr>
        <w:widowControl w:val="0"/>
        <w:spacing w:before="120" w:beforeAutospacing="0" w:after="0" w:afterAutospacing="0"/>
        <w:ind w:firstLine="590"/>
        <w:jc w:val="both"/>
        <w:rPr>
          <w:color w:val="000000"/>
        </w:rPr>
      </w:pPr>
      <w:bookmarkStart w:id="0" w:name="_GoBack"/>
      <w:bookmarkEnd w:id="0"/>
    </w:p>
    <w:sectPr w:rsidR="00FB340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340"/>
    <w:rsid w:val="004D487C"/>
    <w:rsid w:val="00521340"/>
    <w:rsid w:val="00E30521"/>
    <w:rsid w:val="00FB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AD1EB8-A6CF-49B4-86E9-82AEBC9E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</w:style>
  <w:style w:type="character" w:styleId="a4">
    <w:name w:val="Hyperlink"/>
    <w:uiPriority w:val="99"/>
    <w:rPr>
      <w:color w:val="3333CC"/>
      <w:u w:val="single"/>
    </w:rPr>
  </w:style>
  <w:style w:type="character" w:styleId="a5">
    <w:name w:val="Strong"/>
    <w:uiPriority w:val="99"/>
    <w:qFormat/>
    <w:rPr>
      <w:b/>
      <w:bCs/>
    </w:rPr>
  </w:style>
  <w:style w:type="paragraph" w:styleId="a6">
    <w:name w:val="endnote text"/>
    <w:basedOn w:val="a"/>
    <w:link w:val="a7"/>
    <w:uiPriority w:val="99"/>
  </w:style>
  <w:style w:type="character" w:customStyle="1" w:styleId="a7">
    <w:name w:val="Текст кінцевої виноски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uiPriority w:val="99"/>
  </w:style>
  <w:style w:type="character" w:customStyle="1" w:styleId="a9">
    <w:name w:val="Основний текст Знак"/>
    <w:link w:val="a8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a">
    <w:name w:val="annotation reference"/>
    <w:uiPriority w:val="99"/>
    <w:rPr>
      <w:sz w:val="16"/>
      <w:szCs w:val="16"/>
    </w:rPr>
  </w:style>
  <w:style w:type="paragraph" w:styleId="ab">
    <w:name w:val="annotation text"/>
    <w:basedOn w:val="a"/>
    <w:link w:val="ac"/>
    <w:uiPriority w:val="99"/>
    <w:pPr>
      <w:spacing w:before="0" w:beforeAutospacing="0" w:after="0" w:afterAutospacing="0"/>
    </w:pPr>
    <w:rPr>
      <w:sz w:val="20"/>
      <w:szCs w:val="20"/>
    </w:rPr>
  </w:style>
  <w:style w:type="character" w:customStyle="1" w:styleId="ac">
    <w:name w:val="Текст примітки Знак"/>
    <w:link w:val="ab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Экономика стран Азии выздоравливает</vt:lpstr>
    </vt:vector>
  </TitlesOfParts>
  <Company>PERSONAL COMPUTERS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Экономика стран Азии выздоравливает</dc:title>
  <dc:subject/>
  <dc:creator>USER</dc:creator>
  <cp:keywords/>
  <dc:description/>
  <cp:lastModifiedBy>Irina</cp:lastModifiedBy>
  <cp:revision>2</cp:revision>
  <dcterms:created xsi:type="dcterms:W3CDTF">2014-08-07T13:54:00Z</dcterms:created>
  <dcterms:modified xsi:type="dcterms:W3CDTF">2014-08-07T13:54:00Z</dcterms:modified>
</cp:coreProperties>
</file>