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398" w:rsidRPr="00967B81" w:rsidRDefault="006A2398" w:rsidP="006A2398">
      <w:pPr>
        <w:spacing w:before="120"/>
        <w:jc w:val="center"/>
        <w:rPr>
          <w:b/>
          <w:bCs/>
          <w:sz w:val="32"/>
          <w:szCs w:val="32"/>
        </w:rPr>
      </w:pPr>
      <w:r w:rsidRPr="00967B81">
        <w:rPr>
          <w:b/>
          <w:bCs/>
          <w:sz w:val="32"/>
          <w:szCs w:val="32"/>
        </w:rPr>
        <w:t xml:space="preserve">Прикладные проблемы формирования инновационной экономики России </w:t>
      </w:r>
    </w:p>
    <w:p w:rsidR="006A2398" w:rsidRPr="00967B81" w:rsidRDefault="006A2398" w:rsidP="006A2398">
      <w:pPr>
        <w:spacing w:before="120"/>
        <w:ind w:firstLine="567"/>
        <w:jc w:val="both"/>
        <w:rPr>
          <w:sz w:val="28"/>
          <w:szCs w:val="28"/>
        </w:rPr>
      </w:pPr>
      <w:r w:rsidRPr="00967B81">
        <w:rPr>
          <w:sz w:val="28"/>
          <w:szCs w:val="28"/>
        </w:rPr>
        <w:t xml:space="preserve">Мартынюк Е. А.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В конце XX в. человечество в своем развитии вступило в стадию создания постиндустриальной экономики, главную роль в которой играют информационные технологии, компьютеризированные системы, высокие производственные технологии и основанные на них инновационные технологии, инновационные системы, инновационная организация различных видов деятельности. Конечным результатом создания постиндустриальной экономики должно стать формирование инновационной экономики, которая, в соответствии с поставленными Президентом Российской Федерации задачами, является стратегическим направлением развития экономики России.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Создание новых знаний и технологий и их использование в интересах социально-экономического развития государства определяют роль и место страны в мировом сообществе и уровень обеспечения национальной безопасности. В развитых странах 80-95% прироста валового внутреннего продукта приходится на долю новых знаний, воплощенных в технике и технологиях, т. е. в этих странах развивается инновационная экономика. Основными признаками инновационной экономики являются </w:t>
      </w:r>
      <w:hyperlink r:id="rId4" w:anchor="1_2#1_2" w:history="1">
        <w:r w:rsidRPr="00B6466C">
          <w:rPr>
            <w:rStyle w:val="a3"/>
          </w:rPr>
          <w:t>1</w:t>
        </w:r>
      </w:hyperlink>
      <w:r w:rsidRPr="00B6466C">
        <w:t xml:space="preserve">: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наличие современных информационных технологий и компьютеризированных систем;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наличие развитой инфраструктуры, обеспечивающей создание национальных информационных ресурсов;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ускоренная автоматизация и компьютеризация всех сфер и отраслей производства и управления;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создание и оперативное внедрение в практику инноваций различного функционального назначения;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наличие гибкой системы опережающей подготовки и переподготовки квалифицированных специалистов.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Основными целями инновационной деятельности являются минимизация себестоимости продукции и повышение качества технологических, организационных и кадровых решений. При внедрении высокоэффективной новой технологии наибольшее значение имеют следующие результаты: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сокращение доли ручного труда и улучшение условий труда;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обеспечение непрерывного и стабильного производственного процесса, снижение непроизводственных затрат времени;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снижение трудоемкости и материалоемкости на единицу продукции;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повышение эффективности использования оборудования;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распространение (диффузия) инновации в другие предприятия на коммерческой основе.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Ход развития мировой экономики показывает, что из 150 стран, вставших на путь рыночных преобразований и развития инноваций, только 10-15 могут претендовать на статус развитых. Всего 7-8 стран можно отнести к высокоразвитым, они удерживают первенство по 50 макротехнологиям, на их долю приходится 92% мирового объема наукоемкой продукции (доля США - 39%, Японии - 30%, Германии - 16%, Китая - 6%). В 2010 г., по прогнозам экспертов, мировой рынок наукоемкой продукции составит 3,5 трлн. долл., из них 1,2 трлн. долл. придется на информационные технологии. России, чтобы войти в сообщество развитых стран, необходимо иметь 8-12% (250-360 млрд. долл. в год) на этом рынке </w:t>
      </w:r>
      <w:hyperlink r:id="rId5" w:anchor="1_2#1_2" w:history="1">
        <w:r w:rsidRPr="00B6466C">
          <w:rPr>
            <w:rStyle w:val="a3"/>
          </w:rPr>
          <w:t>2</w:t>
        </w:r>
      </w:hyperlink>
      <w:r w:rsidRPr="00B6466C">
        <w:t xml:space="preserve">. Объем мировой торговли лицензиями на объекты интеллектуальной собственности ежегодно увеличивается на 12%, при темпах роста мирового промышленного производства 2,5-3% в год </w:t>
      </w:r>
      <w:hyperlink r:id="rId6" w:anchor="1_2#1_2" w:history="1">
        <w:r w:rsidRPr="00B6466C">
          <w:rPr>
            <w:rStyle w:val="a3"/>
          </w:rPr>
          <w:t>3</w:t>
        </w:r>
      </w:hyperlink>
      <w:r w:rsidRPr="00B6466C">
        <w:t xml:space="preserve">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Практика показала, что уровень развития инновационной сферы (науки, технологий, наукоемких отраслей) создает основу устойчивого экономического роста, определяет границы между богатыми и бедными странами. Поэтому формирование национальных инновационных систем (НИС) является главным фактором долгосрочного роста мировой экономики. НИС - это совокупность государственных и частных организаций (предприятий), ведущих исследования и разработки, производство и реализацию высокотехнологичной продукции, а также органов управления и источников финансирования. Деятельность НИС регламентируется совокупностью законодательных и нормативных актов, инструкций и нормативов. Отметим, что условиями успешного функционирования НИС, кроме наличия передовой науки и образования, являются </w:t>
      </w:r>
      <w:hyperlink r:id="rId7" w:anchor="1_2#1_2" w:history="1">
        <w:r w:rsidRPr="00B6466C">
          <w:rPr>
            <w:rStyle w:val="a3"/>
          </w:rPr>
          <w:t>4</w:t>
        </w:r>
      </w:hyperlink>
      <w:r w:rsidRPr="00B6466C">
        <w:t xml:space="preserve">: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конкурентоспособный предпринимательский сектор в виде крупных корпораций;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приоритет государственной политики в развитии образования, науки и технологий, создании благоприятных институциональных условий для инновационного роста;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интеграция в глобальную инновационную сферу.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В технологически развитых странах основой экономического развития становятся корпорации, в которых лидирующую роль играют творческие учреждения (предприятия), производящие ценные знания и информационные ресурсы для удовлетворения политических, экономических, научных и культурных потребностей государства. Происходит становление нового производства, в котором наука становится его функцией, придавая ему наукоемкий характер.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Развитие новых информационных технологий расширяет процесс интернационализации хозяйственной деятельности. В настоящее время эта деятельность, известная как экономическая глобализация, охватывает практически все регионы мира.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В России инновационная активность реального сектора крайне низка: разработку и внедрение технологических инноваций осуществляют около 5% промышленных предприятий (в развитых странах 80-87%); на наиболее перспективные инновации расходы составляют 2,5%; используется 8-10% инновационных идей и проектов (в Японии - 95%, в США - 62%); из 500 запатентованных изобретений находит применение только одно </w:t>
      </w:r>
      <w:hyperlink r:id="rId8" w:anchor="1_2#1_2" w:history="1">
        <w:r w:rsidRPr="00B6466C">
          <w:rPr>
            <w:rStyle w:val="a3"/>
          </w:rPr>
          <w:t>5</w:t>
        </w:r>
      </w:hyperlink>
      <w:r w:rsidRPr="00B6466C">
        <w:t xml:space="preserve">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Наибольшие затраты на инновации российских предприятий составляют приобретение машин и оборудования (62,2%). В то же время на приобретение новых технологий расходуется только 18,3% всех средств, затрачиваемых на инновации. Из них на приобретение права на использование объектов интеллектуальной собственности - 10,6%. В общем объеме затрат предприятий на инновации подавляющую долю составляют собственные средства - 82,3%, доля иностранных инвестиций - 5,3%, федерального бюджета - 2,8%, бюджетов субъектов Российской Федерации - 1,3%, внебюджетных фондов - 2,7% </w:t>
      </w:r>
      <w:hyperlink r:id="rId9" w:anchor="1_2#1_2" w:history="1">
        <w:r w:rsidRPr="00B6466C">
          <w:rPr>
            <w:rStyle w:val="a3"/>
          </w:rPr>
          <w:t>6</w:t>
        </w:r>
      </w:hyperlink>
      <w:r w:rsidRPr="00B6466C">
        <w:t xml:space="preserve">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 мнению экспертов, в настоящее время к основным российским макротехнологиям, которые могут составить конкуренцию иностранным, являются космос, авиация, судостроение, спецхимия, ядерная энергетика, биотехнология микроэлектроника, специальное машиностроение. По этим направлениям Россия обладает собственной научной школой, а уровень имеющейся базы знаний для выхода на конкурентный уровень оценивается в 70-80% от мирового.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Технологический облик России к XXI в. сложился как результат развития общества, направляющего свои основные ресурсы на обеспечение стратегической безопасности. За 90-е годы ВВП России сократился в 2 раза и стал меньше ВВП США в 10 раз, Китая в 5 раз, а показатель ВВП на душу населения в 10 раз меньше, чем в странах "большой семерки" /95/.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За последнее десятилетие изменилась структура экономики России: ключевыми стали топливная промышленность, электроэнергетика, черная и цветная металлургия (доля в объеме промышленной продукции - 50%, в объеме экспорта - 70%). В развитых странах доля машиностроения и металлообработки в промышленности составляет до 50%, в России - 18% /95/.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Медленно идет процесс слияния производственных мощностей в корпоративные структуры. Для сравнения: на мировом рынке в сфере авиакосмоса 9 крупных фирм имеют доход 150-160 млрд. долл., а 500 российских авиакосмических предприятий - 3-4 млрд. долл. Это объясняется тем, что крупные корпорации обеспечивают конкурсные преимущества за счет эффективного использования научно-технического потенциала, закупок патентов и ноу-хау, информатизации производства, создания интеллектуальных производственных систем.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В России с начала 1990-х годов техническое перевооружение производственных мощностей практически не проводится. Объем выпуска продукции станкостроения - базы технического перевооружения - сокращается, ухудшается структура станочного парка с ЧПУ и прецизионные установки составляют 1,1% и 3,3% соответственно </w:t>
      </w:r>
      <w:hyperlink r:id="rId10" w:anchor="1_2#1_2" w:history="1">
        <w:r w:rsidRPr="00B6466C">
          <w:rPr>
            <w:rStyle w:val="a3"/>
          </w:rPr>
          <w:t>7</w:t>
        </w:r>
      </w:hyperlink>
      <w:r w:rsidRPr="00B6466C">
        <w:t xml:space="preserve">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Все это обусловило то, что доля России в мировом экспорте составляет 1,5-1,6%, а структура экспорта характеризуется сырьевой направленностью. В качестве некоторых факторов, тормозящих развитие российского экспорта, можно указать: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низкая конкурентоспособность промышленной продукции, отсутствие средств для внедрения научных разработок и сертификации экспортной продукции;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международная дискриминация российских экспортеров;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пока еще низкий инвестиционный рейтинг России;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разрыв связей с партнерами в странах СНГ;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недостаток опыта и знаний российских экспортеров.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В настоящее время наблюдаются тенденции стабилизации сокращения иностранных инновационных вложений в экономику России по всем составляющим (прямым, портфельным и пр.). Данные табл. 3.1 позволяют судить о сегодняшнем месте России в мировом технологическом пространстве. Из таблицы видно, что Россия: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 ВВП на одного занятого уступает США в 4 раза и в 3 раза странам Западной Европы;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 доли наукоемкой продукции в товарном экспорте Россия находиться на уровне Индии и в 9 раз уступает США, в 5 раз Китаю и 2,5 раза Италии;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 индексу конкурентоспособности находится на 58-ом месте, уступая Китаю и Индии;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 доле информационного оборудования в мировом экспорте уступает всем указанным странам.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Следует отметить, что к началу 1990-х годов в России был накоплен мощный научно-технический потенциал, по уровню сопоставимый с американским и европейским. Разработкой научно-технических проблем было занято более 4500 научных организаций, в которых работало около 2 млн. человек, в том числе специалистов, выполняющих научные исследования и разработки, свыше 1,2 млн. чел. В некоторых областях науки и техники, в ОПК профессионально квалификационный и образовательный уровень кадров был на уровне развитых стран, а в ряде случаев выше.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Таблица 3.1 Наукоемкость и наукоотдача национальных экономик </w:t>
      </w:r>
      <w:hyperlink r:id="rId11" w:anchor="1_2#1_2" w:history="1">
        <w:r w:rsidRPr="00B6466C">
          <w:rPr>
            <w:rStyle w:val="a3"/>
          </w:rPr>
          <w:t>8</w:t>
        </w:r>
      </w:hyperlink>
      <w:r w:rsidRPr="00B6466C">
        <w:t xml:space="preserve"> </w:t>
      </w:r>
    </w:p>
    <w:tbl>
      <w:tblPr>
        <w:tblW w:w="5000" w:type="pct"/>
        <w:tblCellSpacing w:w="0" w:type="dxa"/>
        <w:tblInd w:w="-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10"/>
        <w:gridCol w:w="1899"/>
        <w:gridCol w:w="924"/>
        <w:gridCol w:w="1064"/>
        <w:gridCol w:w="1049"/>
        <w:gridCol w:w="1412"/>
        <w:gridCol w:w="1335"/>
        <w:gridCol w:w="1368"/>
      </w:tblGrid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№ п/п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Страна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ВВП, млрд. долл.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ВВП на одного занятого, тыс. долл.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Доля расходов на НИОКР, в % ВВП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Текущий индекс конкуренто-способности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Доля наукоемкой продукции в товарном экспорте,%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Доля в мировом экспорте информаци-онного оборудова-ния, %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1.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США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9875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73,1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2,64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28,2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16,3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2.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Китай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5135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7,2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1,00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47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16,7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4,6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3.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Япония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3425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56,0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3,04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15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26,3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11,5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4.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Индия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4,9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36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3,2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-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5.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Германия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56,0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2,44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4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15,3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4,8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6.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Франция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56,5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2,17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12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19,4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3,4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7.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Великобритания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54,5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1,87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7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26,2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5,3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8.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Италия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1410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56,5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1,04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24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7,9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1,1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9. 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Россия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1185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18,0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1,01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58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3,1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0,2*</w:t>
            </w:r>
          </w:p>
        </w:tc>
      </w:tr>
      <w:tr w:rsidR="006A2398" w:rsidRPr="00B6466C" w:rsidTr="00E21A35">
        <w:trPr>
          <w:tblCellSpacing w:w="0" w:type="dxa"/>
        </w:trPr>
        <w:tc>
          <w:tcPr>
            <w:tcW w:w="44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10.</w:t>
            </w:r>
          </w:p>
        </w:tc>
        <w:tc>
          <w:tcPr>
            <w:tcW w:w="10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Канада 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60,0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11 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 xml:space="preserve">-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A2398" w:rsidRPr="00B6466C" w:rsidRDefault="006A2398" w:rsidP="00E21A35">
            <w:pPr>
              <w:jc w:val="both"/>
            </w:pPr>
            <w:r w:rsidRPr="00B6466C">
              <w:t>2,2</w:t>
            </w:r>
          </w:p>
        </w:tc>
      </w:tr>
    </w:tbl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* относится к региону Восточная Европа в целом.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По некоторым направлениям фундаментальных исследований, которыми занималась академическая, вузовская и ведомственная наука, страна имела несомненный приоритет. Однако отсутствие стимулов повышения конкурентоспособности промышленной продукции, с одной стороны, приводило к невостребованности производством результатов научных исследований и научно-технических разработок, с другой - существовавшая система отчуждения результатов интеллектуального труда слабо стимулировала нацеленность исследований и разработок на обслуживание нужд производства. </w:t>
      </w:r>
    </w:p>
    <w:p w:rsidR="006A2398" w:rsidRPr="00967B81" w:rsidRDefault="006A2398" w:rsidP="006A2398">
      <w:pPr>
        <w:spacing w:before="120"/>
        <w:jc w:val="center"/>
        <w:rPr>
          <w:b/>
          <w:bCs/>
          <w:sz w:val="28"/>
          <w:szCs w:val="28"/>
        </w:rPr>
      </w:pPr>
      <w:r w:rsidRPr="00967B81">
        <w:rPr>
          <w:b/>
          <w:bCs/>
          <w:sz w:val="28"/>
          <w:szCs w:val="28"/>
        </w:rPr>
        <w:t>Список литературы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Исмаилов Т. А., Гамидов Г. С. Инновационная экономика - стратегическое направление развития России в XXI веке. // Инновации, №1, 2003 г.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Лукьянов Ф. Путин-2: Неевропейская Россия. // "Россия в глобальной политике", 2004 г.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Фомичев Ю. Интеллектуальная собственность: правовая защита, управление, коммерциализация. // Человек и Труд, №3, 2004 г.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Иванова Н. И. Инновационная экономика России в глобальном контексте. // Передовые Технологии России, 2004 г.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Фомичев Ю. Интеллектуальная собственность: правовая защита, управление, коммерциализация. // Человек и Труд, №3, 2004 г.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Там же.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Хадыков А. Т. Оценка конкурентоспособности технологического автоматизированного оборудования. - Улан-Удэ: ВСГТУ, 2004 г. </w:t>
      </w:r>
    </w:p>
    <w:p w:rsidR="006A2398" w:rsidRPr="00B6466C" w:rsidRDefault="006A2398" w:rsidP="006A2398">
      <w:pPr>
        <w:spacing w:before="120"/>
        <w:ind w:firstLine="567"/>
        <w:jc w:val="both"/>
      </w:pPr>
      <w:r w:rsidRPr="00B6466C">
        <w:t xml:space="preserve">Бендиков М. А., Фролов И.Э. Рынки высокотехнологичной продукции: тенденции и перспективы развития. // Маркетинг в России и за рубежом №2, 2001 г.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398"/>
    <w:rsid w:val="00002B5A"/>
    <w:rsid w:val="0010437E"/>
    <w:rsid w:val="00616072"/>
    <w:rsid w:val="006A2398"/>
    <w:rsid w:val="006A5004"/>
    <w:rsid w:val="00710178"/>
    <w:rsid w:val="008B35EE"/>
    <w:rsid w:val="00905CC1"/>
    <w:rsid w:val="00967B81"/>
    <w:rsid w:val="00B42C45"/>
    <w:rsid w:val="00B47B6A"/>
    <w:rsid w:val="00B6466C"/>
    <w:rsid w:val="00C51642"/>
    <w:rsid w:val="00E21A35"/>
    <w:rsid w:val="00E5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28245D-4274-470D-B7CB-B98B7105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39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A2398"/>
    <w:rPr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in.ru/bandurin/article/sbrn08/13.s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fin.ru/bandurin/article/sbrn08/13.s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fin.ru/bandurin/article/sbrn08/13.shtml" TargetMode="External"/><Relationship Id="rId11" Type="http://schemas.openxmlformats.org/officeDocument/2006/relationships/hyperlink" Target="http://www.cfin.ru/bandurin/article/sbrn08/13.shtml" TargetMode="External"/><Relationship Id="rId5" Type="http://schemas.openxmlformats.org/officeDocument/2006/relationships/hyperlink" Target="http://www.cfin.ru/bandurin/article/sbrn08/13.shtml" TargetMode="External"/><Relationship Id="rId10" Type="http://schemas.openxmlformats.org/officeDocument/2006/relationships/hyperlink" Target="http://www.cfin.ru/bandurin/article/sbrn08/13.shtml" TargetMode="External"/><Relationship Id="rId4" Type="http://schemas.openxmlformats.org/officeDocument/2006/relationships/hyperlink" Target="http://www.cfin.ru/bandurin/article/sbrn08/13.shtml" TargetMode="External"/><Relationship Id="rId9" Type="http://schemas.openxmlformats.org/officeDocument/2006/relationships/hyperlink" Target="http://www.cfin.ru/bandurin/article/sbrn08/13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1842</Words>
  <Characters>10504</Characters>
  <Application>Microsoft Office Word</Application>
  <DocSecurity>0</DocSecurity>
  <Lines>87</Lines>
  <Paragraphs>24</Paragraphs>
  <ScaleCrop>false</ScaleCrop>
  <Company>Home</Company>
  <LinksUpToDate>false</LinksUpToDate>
  <CharactersWithSpaces>12322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Прикладные проблемы формирования инновационной экономики России </dc:title>
  <dc:subject/>
  <dc:creator>User</dc:creator>
  <cp:keywords/>
  <dc:description/>
  <cp:lastModifiedBy>admin</cp:lastModifiedBy>
  <cp:revision>2</cp:revision>
  <dcterms:created xsi:type="dcterms:W3CDTF">2014-02-15T04:39:00Z</dcterms:created>
  <dcterms:modified xsi:type="dcterms:W3CDTF">2014-02-15T04:39:00Z</dcterms:modified>
</cp:coreProperties>
</file>