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4E" w:rsidRPr="009D031C" w:rsidRDefault="0028464E" w:rsidP="0028464E">
      <w:pPr>
        <w:spacing w:before="120"/>
        <w:jc w:val="center"/>
        <w:rPr>
          <w:b/>
          <w:bCs/>
          <w:sz w:val="32"/>
          <w:szCs w:val="32"/>
        </w:rPr>
      </w:pPr>
      <w:r w:rsidRPr="009D031C">
        <w:rPr>
          <w:b/>
          <w:bCs/>
          <w:sz w:val="32"/>
          <w:szCs w:val="32"/>
        </w:rPr>
        <w:t>Списание основных средств в связи с их полным износом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соответствии с пунктом 77 Методических указаний №91н, для определения целесообразности (пригодности) дальнейшего использования основных средств, а также для оформления документации при выбытии указанных объектов в организации приказом руководителя создается комиссия. В состав комиссии входят соответствующие должностные лица, в том числе главный бухгалтер (бухгалтер) и лица, на которых возложена ответственность за сохранность объектов основных средств. Для участия в работе комиссии могут приглашаться представители инспекций, на которых, в соответствии с законодательством, возложены функции регистрации и надзора за отдельными видами имущества.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компетенцию комиссии входит: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осмотр объекта основных средств, подлежащего списанию с использованием необходимой технической документации, а также данных бухгалтерского учета, установление целесообразности (пригодности) дальнейшего использования объекта основных средств, возможности и эффективности его восстановления;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установление причин списания объекта основных средств (физический и моральный износ, нарушение условий эксплуатации, аварии, стихийные бедствия и иные чрезвычайные ситуации, длительное неиспользование объекта для производства продукции, выполнения работ и услуг либо для управленческих нужд и другое);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возможность использования отдельных узлов, деталей, материалов выбывающего объекта основных средств и их оценка исходя из текущей рыночной стоимости; контроль за изъятием из списываемых в составе объекта основных средств цветных и драгоценных металлов, определение веса и сдачи на соответствующий склад; осуществление контроля за изъятием из списываемых объектов основных средств цветных и драгоценных металлов, определением их количества, веса;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составление акта на списание объекта основных средств.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акте на списании основных средств должны содержаться данные, характеризующие объект основных средств: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дата принятия объекта к бухгалтерскому учету;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год изготовления или постройки;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время ввода в эксплуатацию;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срок полезного использования;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первоначальная стоимость и сумма начисленной амортизации;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проведенные переоценки, ремонты;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причины выбытия с их обоснованием;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состояние основных частей, деталей, узлов, конструктивных элементов.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Акт на списание объекта основных средств утверждается руководителем организации.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На основании оформленного акта на списание основных средств, переданного бухгалтерской службе организации, в инвентарной карточке производится отметка о выбытии объекта основных средств. Соответствующие записи о выбытии объекта основных средств производятся также в документе, открываемом по месту его нахождения. Инвентарные карточки по выбывшим объектам основных средств хранятся в течение срока, устанавливаемого руководителем организации в соответствии с правилами организации государственного архивного дела, но не менее пяти лет.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Для списания пришедших в негодность объектов основных средств применяются следующие документы: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Акт о списании объекта основных средств (кроме автотранспортных средств) (форма ОС-4);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Акт о списании автотранспортных средств (форма №ОС-4а);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 xml:space="preserve">Акт о списании групп объектов основных средств (кроме автотранспортных средств) (форма №ОС-4б). 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Акты составляются в двух экземплярах, подписываются членами комиссии, назначенной руководителем организации, утверждаются руководителем или уполномоченным им лицом.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Первый экземпляр передается в бухгалтерию, второй экземпляр остается у лица, ответственного за сохранность объектов основных средств, и является основанием для сдачи на склад и реализации материальных ценностей и металлолома, оставшихся в результате списания.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случае списания автотранспортного средства в бухгалтерию вместе с актом также передается документ, подтверждающий снятие его с учета в Государственной инспекции безопасности дорожного движения Министерства внутренних дел Российской Федерации.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Акт на списание основных средств может выступать не только как документ бухгалтерского учета, но и как регистр налогового учета.</w:t>
      </w:r>
    </w:p>
    <w:p w:rsidR="0028464E" w:rsidRPr="009D031C" w:rsidRDefault="0028464E" w:rsidP="0028464E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Бухгалтерский учет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соответствии с пунктом 29 ПБУ 6/01 стоимость выбывающего объекта основных средств подлежит списанию с бухгалтерского учета.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Расходы от списания основного средства с бухгалтерского учета являются операционными расходами согласно пункту 11 ПБУ 10/99.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Мы уже отмечали, что для учета выбытия объектов основных средств к счету 01 «Основные средства» целесообразно открывать отдельный субсчет «Выбытие основных средств», в дебет которого следует переносить стоимость выбывающего объекта, а в кредит – сумму накопленной амортизации.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Остаточная стоимость объекта списывается с кредита счета 01, субсчет «Выбытие основных средств», в дебет счета 91 «Прочие доходы и расходы», субсчет 91-2 «Прочие расходы». В данном случае, остаточная стоимость оборудования равна нулю, так как амортизация по нему начислена полностью.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Расходы, связанные с ликвидацией оборудования списываются в дебет счета 91 «Прочие доходы и расходы», субсчет 91-2 «Прочие расходы», в корреспонденции со счетом 23 «Вспомогательные производства».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Материальные ценности, остающиеся от списания непригодных к восстановлению и дальнейшему использованию основных средств, приходуются по рыночной стоимости на дату списания и соответствующая сумма зачисляется на финансовые результаты. Такой порядок учета материальных ценностей, полученных в результате списания основных средств, установлен пунктом 54 Положения №34н.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Принятие к учету пригодных к дальнейшему использованию запасных частей, металлолома отражается по дебету счета 10 «Материалы», в корреспонденции с кредитом счета 91 «Прочие доходы и расходы», субсчет 91-1 «Прочие доходы».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Пример 1.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Организация в октябре 2004 года ликвидирует производственное оборудование, амортизация по которому начислена полностью, первоначальной стоимостью 270 000 рублей. Работы по демонтажу и вывозу оборудования осуществлялись силами вспомогательного производства. Расходы цеха вспомогательного производства составили 18 000 рублей. При разборке оприходованы годные запасные части по рыночной стоимости 11 600 рублей, а также металлолом по стоимости 800 рублей.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приведенной ниже таблице использованы следующие наименования субсчетов: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01-1»Основные средства в эксплуатации»;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01-2 «Выбытие основных средств».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1501"/>
        <w:gridCol w:w="1364"/>
        <w:gridCol w:w="5462"/>
      </w:tblGrid>
      <w:tr w:rsidR="0028464E" w:rsidRPr="00716863" w:rsidTr="003D1D5A">
        <w:trPr>
          <w:tblCellSpacing w:w="0" w:type="dxa"/>
        </w:trPr>
        <w:tc>
          <w:tcPr>
            <w:tcW w:w="147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Корреспонденция счетов</w:t>
            </w:r>
          </w:p>
        </w:tc>
        <w:tc>
          <w:tcPr>
            <w:tcW w:w="7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Сумма,</w:t>
            </w:r>
          </w:p>
          <w:p w:rsidR="0028464E" w:rsidRPr="00716863" w:rsidRDefault="0028464E" w:rsidP="003D1D5A">
            <w:pPr>
              <w:jc w:val="both"/>
            </w:pPr>
            <w:r w:rsidRPr="00716863">
              <w:t>рублей</w:t>
            </w:r>
          </w:p>
        </w:tc>
        <w:tc>
          <w:tcPr>
            <w:tcW w:w="28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Содержание операций</w:t>
            </w: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Дебет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Кредит</w:t>
            </w:r>
          </w:p>
        </w:tc>
        <w:tc>
          <w:tcPr>
            <w:tcW w:w="7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</w:p>
        </w:tc>
        <w:tc>
          <w:tcPr>
            <w:tcW w:w="28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01-2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01-1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270 000</w:t>
            </w:r>
          </w:p>
        </w:tc>
        <w:tc>
          <w:tcPr>
            <w:tcW w:w="2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8464E" w:rsidRPr="00716863" w:rsidRDefault="0028464E" w:rsidP="003D1D5A">
            <w:pPr>
              <w:jc w:val="both"/>
            </w:pPr>
            <w:r w:rsidRPr="00716863">
              <w:t>Списана первоначальная стоимость ликвидируемого оборудования</w:t>
            </w: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02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01-2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270 000</w:t>
            </w:r>
          </w:p>
        </w:tc>
        <w:tc>
          <w:tcPr>
            <w:tcW w:w="2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8464E" w:rsidRPr="00716863" w:rsidRDefault="0028464E" w:rsidP="003D1D5A">
            <w:pPr>
              <w:jc w:val="both"/>
            </w:pPr>
            <w:r w:rsidRPr="00716863">
              <w:t>Списана сумма начисленной амортизации</w:t>
            </w: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91-2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23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18 000</w:t>
            </w:r>
          </w:p>
        </w:tc>
        <w:tc>
          <w:tcPr>
            <w:tcW w:w="2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8464E" w:rsidRPr="00716863" w:rsidRDefault="0028464E" w:rsidP="003D1D5A">
            <w:pPr>
              <w:jc w:val="both"/>
            </w:pPr>
            <w:r w:rsidRPr="00716863">
              <w:t>Отражены расходы вспомогательного производства по демонтажу оборудования</w:t>
            </w: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10-5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91-1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11 600</w:t>
            </w:r>
          </w:p>
        </w:tc>
        <w:tc>
          <w:tcPr>
            <w:tcW w:w="2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8464E" w:rsidRPr="00716863" w:rsidRDefault="0028464E" w:rsidP="003D1D5A">
            <w:pPr>
              <w:jc w:val="both"/>
            </w:pPr>
            <w:r w:rsidRPr="00716863">
              <w:t>Оприходованы запасные части, полученные при демонтаже оборудования</w:t>
            </w: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10-6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91-1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800</w:t>
            </w:r>
          </w:p>
        </w:tc>
        <w:tc>
          <w:tcPr>
            <w:tcW w:w="2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8464E" w:rsidRPr="00716863" w:rsidRDefault="0028464E" w:rsidP="003D1D5A">
            <w:pPr>
              <w:jc w:val="both"/>
            </w:pPr>
            <w:r w:rsidRPr="00716863">
              <w:t>Оприходован полученный при демонтаже металлолом</w:t>
            </w:r>
          </w:p>
        </w:tc>
      </w:tr>
      <w:tr w:rsidR="0028464E" w:rsidRPr="00716863" w:rsidTr="003D1D5A">
        <w:trPr>
          <w:tblCellSpacing w:w="0" w:type="dxa"/>
        </w:trPr>
        <w:tc>
          <w:tcPr>
            <w:tcW w:w="6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99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91-9</w:t>
            </w:r>
          </w:p>
        </w:tc>
        <w:tc>
          <w:tcPr>
            <w:tcW w:w="7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464E" w:rsidRPr="00716863" w:rsidRDefault="0028464E" w:rsidP="003D1D5A">
            <w:pPr>
              <w:jc w:val="both"/>
            </w:pPr>
            <w:r w:rsidRPr="00716863">
              <w:t>5 600</w:t>
            </w:r>
          </w:p>
        </w:tc>
        <w:tc>
          <w:tcPr>
            <w:tcW w:w="2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8464E" w:rsidRPr="00716863" w:rsidRDefault="0028464E" w:rsidP="003D1D5A">
            <w:pPr>
              <w:jc w:val="both"/>
            </w:pPr>
            <w:r w:rsidRPr="00716863">
              <w:t>Списано сальдо прочих доходов и расходов (18000 – 11600 – 800)</w:t>
            </w:r>
          </w:p>
        </w:tc>
      </w:tr>
    </w:tbl>
    <w:p w:rsidR="0028464E" w:rsidRPr="009D031C" w:rsidRDefault="0028464E" w:rsidP="0028464E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Налоговый учет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соответствии с подпунктом 8 пункта 1 статьи 265 Налогового кодекса Российской Федерации (далее НК РФ) расходы на ликвидацию выводимых из эксплуатации основных средств, включая суммы недоначисленной амортизации, а включаются в состав внереализационных расходов, не связанных с производством и реализацией, уменьшающих налоговую базу по налогу на прибыль.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Во многих случаях, при ликвидации объектов основных средств, получают запасные части, материалы, металлолом и другие материалы. Согласно пункту 13 статьи 250 НК РФ доходы в виде стоимости полученных материалов или иного имущества при демонтаже или разборке, при ликвидации выводимых из эксплуатации основных средств, признаются внереализационными доходами.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Дата признания доходов и расходов от ликвидации основного средства зависит от того, какой метод выбран организацией – метод начисления или кассовый метод.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 соответствии с подпунктом 8 пункта 4 статьи 271 НК РФ организация, определяющая доходы и расходы по методу начисления, стоимость имущества, полученного при ликвидации основного средства, признает внереализационным доходом на дату составления акта ликвидации амортизируемого имущества.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При кассовом методе такие доходы признаются в момент принятия к учету имущества согласно пункту 2 статьи 273 НК РФ.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Как правило, в результате ликвидации основных средств организации получают убыток. Сумма убытка может быть учтена при налогообложении прибыли того периода, в котором убыток получен.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Пример 2.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Воспользуемся данными примера 1 и определим сумму внереализационного дохода и сумму расхода, которые будут учитываться в целях налогообложения прибыли.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Внереализационный расход - расходы по демонтажу основного средства в сумме 18 000 рублей.</w:t>
      </w:r>
    </w:p>
    <w:p w:rsidR="0028464E" w:rsidRPr="00716863" w:rsidRDefault="0028464E" w:rsidP="0028464E">
      <w:pPr>
        <w:spacing w:before="120"/>
        <w:ind w:firstLine="567"/>
        <w:jc w:val="both"/>
      </w:pPr>
      <w:r w:rsidRPr="00716863">
        <w:t>Внереализационный доход - стоимость оприходованных запасных частей и металлолома в сумме 12 400 рублей.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64E"/>
    <w:rsid w:val="00002B5A"/>
    <w:rsid w:val="0010437E"/>
    <w:rsid w:val="001E2202"/>
    <w:rsid w:val="0028464E"/>
    <w:rsid w:val="00316F32"/>
    <w:rsid w:val="003D1D5A"/>
    <w:rsid w:val="00530AD7"/>
    <w:rsid w:val="00616072"/>
    <w:rsid w:val="006A5004"/>
    <w:rsid w:val="00710178"/>
    <w:rsid w:val="00716863"/>
    <w:rsid w:val="007E1FFA"/>
    <w:rsid w:val="0081563E"/>
    <w:rsid w:val="008B35EE"/>
    <w:rsid w:val="00905CC1"/>
    <w:rsid w:val="009D031C"/>
    <w:rsid w:val="00B42C45"/>
    <w:rsid w:val="00B47B6A"/>
    <w:rsid w:val="00B5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268E2F-3978-4BFD-AFA8-63F03641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8464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Списание основных средств в связи с их полным износом</vt:lpstr>
    </vt:vector>
  </TitlesOfParts>
  <Company>Home</Company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Списание основных средств в связи с их полным износом</dc:title>
  <dc:subject/>
  <dc:creator>User</dc:creator>
  <cp:keywords/>
  <dc:description/>
  <cp:lastModifiedBy>admin</cp:lastModifiedBy>
  <cp:revision>2</cp:revision>
  <dcterms:created xsi:type="dcterms:W3CDTF">2014-02-15T01:14:00Z</dcterms:created>
  <dcterms:modified xsi:type="dcterms:W3CDTF">2014-02-15T01:14:00Z</dcterms:modified>
</cp:coreProperties>
</file>