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1C" w:rsidRPr="009D031C" w:rsidRDefault="000A3D1C" w:rsidP="000A3D1C">
      <w:pPr>
        <w:spacing w:before="120"/>
        <w:jc w:val="center"/>
        <w:rPr>
          <w:b/>
          <w:bCs/>
          <w:sz w:val="32"/>
          <w:szCs w:val="32"/>
        </w:rPr>
      </w:pPr>
      <w:r w:rsidRPr="009D031C">
        <w:rPr>
          <w:b/>
          <w:bCs/>
          <w:sz w:val="32"/>
          <w:szCs w:val="32"/>
        </w:rPr>
        <w:t>Списание основных средств в результате хищения</w:t>
      </w:r>
    </w:p>
    <w:p w:rsidR="000A3D1C" w:rsidRPr="009D031C" w:rsidRDefault="000A3D1C" w:rsidP="000A3D1C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Бухгалтерский учет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В случае установления в организации факта хищения основного средства, согласно пункту 27 Положения №34н, в обязательном порядке должна быть проведена инвентаризация основных средств.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Для проведения инвентаризации, а также для оформления документов на списание похищенных основных средств, приказом руководителя может быть создана постоянно действующая комиссия. В состав комиссии входят соответствующие должностные лица, в том числе главный бухгалтер (бухгалтер) и лица, на которых возложена ответственность за сохранность основных средств. Для участия в работе комиссии могут приглашаться представители соответствующих инспекций.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Порядок проведения инвентаризации и отражение в учете ее результатов регулируется Методическими указаниями по инвентаризации имущества и финансовых обязательств, утвержденными Приказом Минфина Российской Федерации от 13 июня 1995 года №49 «Об утверждении методических указаний по инвентаризации имущества и финансовых обязательств».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Для документального оформления проведения инвентаризации и отражения ее результатов в бухгалтерском учете организации применяются типовые унифицированные формы первичной учетной документации, утвержденные Постановлением Госкомстата Российской Федерации от 18 августа 1998 года №88 «Об утверждении унифицированных форм первичной учетной документации по учету кассовых операций, по учету результатов инвентаризации».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После проведения инвентаризации на основании актов инвентаризации, объяснительных материально-ответственных лиц, актов следственных органов и других документов комиссия определяет виновных лиц.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Результаты инвентаризации и выводы комиссии оформляются в виде приказа руководителя предприятия. Данный приказ является основанием для составления акта на списание объекта основных средств.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В соответствии с пунктом 29 ПБУ 6/01 стоимость выбывающего объекта основных средств подлежит списанию с бухгалтерского учета.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Для учета выбытия объектов основных в соответствии с Планом счетов к счету 01 «Основные средства» может открываться субсчет «Выбытие основных средств». В дебет этого субсчета переносится стоимость выбывающего объекта, а в кредит - сумма накопленной амортизации.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Для обобщения информации о суммах недостач и потерь от порчи материальных ценностей, выявленных в процессе их заготовления, хранения и продажи, независимо от источника их покрытия, Планом счетов предназначен счет 94 «Недостачи и потери от порчи ценностей». Этот счет применяется также для учета сумм недостач от хищения материальных ценностей.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Остаточная стоимость похищенного основного средства списывается с кредита счета 01 «Основные средства», субсчет «Выбытие основных средств», в дебет счета 94 «Недостачи и потери от порчи ценностей».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В соответствии с подпунктом «б» пункта 28 Положения №34н, недостача имущества и его порча в пределах норм (которых по основным средствам нет) естественной убыли относятся на издержки производства или обращения (расходы), сверх норм - за счет виновных лиц. Если виновные лица не установлены или суд отказал во взыскании убытков с них, то убытки от недостачи имущества и его порчи списываются на финансовые результаты.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Согласно Инструкции по применению Плана счетов списание убытков от хищения имущества при отсутствии виновных лиц, а также в случае отказа судом во взыскании убытков с них, отражается по кредиту счета 94 «Недостачи и потери от порчи ценностей» в корреспонденции с дебетом счета 91 «Прочие доходы и расходы», субсчет 91-2 «Прочие расходы».</w:t>
      </w:r>
    </w:p>
    <w:p w:rsidR="000A3D1C" w:rsidRPr="009D031C" w:rsidRDefault="000A3D1C" w:rsidP="000A3D1C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Порядок учета НДС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Выбытие основного средства в связи с хищением не является операцией, признаваемой объектом налогообложения НДС. Поэтому организация теряет право на вычет сумм НДС в части, относящейся к стоимости похищенного объекта основных средств, не перенесенной на себестоимость продукции (работ, услуг) через амортизационные отчисления, то есть в части остаточной стоимости. Значит сумму НДС в части остаточной стоимости следует восстановить к уплате в бюджет и отразить в бухгалтерском учете по кредиту счета 68 «Расчеты по налогам и сборам» в корреспонденции, в данном случае, с дебетом счета 94 «Недостачи и потери от порчи ценностей».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Пример.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Из кабинета бухгалтерии ООО «Альянс» украден ксерокс, учитываемый организацией в составе основных средств. Первоначальная стоимость ксерокса составляет 16 200 рублей, срок полезного использования при принятии к учету объекта основных средств был установлен в 4 года. Сумма амортизации, начисленная за время эксплуатации 1 350 рублей. Сумма НДС, уплаченная поставщику при приобретении ксерокса в размере 2 916 рублей, принята к зачету в полном объеме. Суд отказал во взыскании с материально ответственного лица стоимости украденного имущества.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Для отражения операций на счетах бухгалтерского учета будем использовать следующие наименования субсчетов: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 xml:space="preserve">01-1 «Основные средства в эксплуатации»; 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 xml:space="preserve">01-2 «Выбытие основных средств». </w:t>
      </w:r>
    </w:p>
    <w:tbl>
      <w:tblPr>
        <w:tblW w:w="5000" w:type="pct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2"/>
        <w:gridCol w:w="1451"/>
        <w:gridCol w:w="1348"/>
        <w:gridCol w:w="5570"/>
      </w:tblGrid>
      <w:tr w:rsidR="000A3D1C" w:rsidRPr="00716863" w:rsidTr="003D1D5A">
        <w:trPr>
          <w:tblCellSpacing w:w="0" w:type="dxa"/>
        </w:trPr>
        <w:tc>
          <w:tcPr>
            <w:tcW w:w="142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Корреспонденция счетов</w:t>
            </w:r>
          </w:p>
        </w:tc>
        <w:tc>
          <w:tcPr>
            <w:tcW w:w="69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Сумма,</w:t>
            </w:r>
          </w:p>
          <w:p w:rsidR="000A3D1C" w:rsidRPr="00716863" w:rsidRDefault="000A3D1C" w:rsidP="003D1D5A">
            <w:pPr>
              <w:jc w:val="both"/>
            </w:pPr>
            <w:r w:rsidRPr="00716863">
              <w:t>рублей</w:t>
            </w:r>
          </w:p>
        </w:tc>
        <w:tc>
          <w:tcPr>
            <w:tcW w:w="28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Содержание операций</w:t>
            </w: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Дебет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Кредит</w:t>
            </w:r>
          </w:p>
        </w:tc>
        <w:tc>
          <w:tcPr>
            <w:tcW w:w="69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</w:p>
        </w:tc>
        <w:tc>
          <w:tcPr>
            <w:tcW w:w="288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01-2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01-1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16 200</w:t>
            </w:r>
          </w:p>
        </w:tc>
        <w:tc>
          <w:tcPr>
            <w:tcW w:w="2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3D1C" w:rsidRPr="00716863" w:rsidRDefault="000A3D1C" w:rsidP="003D1D5A">
            <w:pPr>
              <w:jc w:val="both"/>
            </w:pPr>
            <w:r w:rsidRPr="00716863">
              <w:t>Отражена первоначальная стоимость похищенного ксерокса</w:t>
            </w: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02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01-2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1 350</w:t>
            </w:r>
          </w:p>
        </w:tc>
        <w:tc>
          <w:tcPr>
            <w:tcW w:w="2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3D1C" w:rsidRPr="00716863" w:rsidRDefault="000A3D1C" w:rsidP="003D1D5A">
            <w:pPr>
              <w:jc w:val="both"/>
            </w:pPr>
            <w:r w:rsidRPr="00716863">
              <w:t>Списана начисленная за время эксплуатации амортизация</w:t>
            </w: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94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01-2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14 850</w:t>
            </w:r>
          </w:p>
        </w:tc>
        <w:tc>
          <w:tcPr>
            <w:tcW w:w="2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3D1C" w:rsidRPr="00716863" w:rsidRDefault="000A3D1C" w:rsidP="003D1D5A">
            <w:pPr>
              <w:jc w:val="both"/>
            </w:pPr>
            <w:r w:rsidRPr="00716863">
              <w:t>Списана остаточная стоимость ксерокса</w:t>
            </w: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94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68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2 673</w:t>
            </w:r>
          </w:p>
        </w:tc>
        <w:tc>
          <w:tcPr>
            <w:tcW w:w="2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3D1C" w:rsidRPr="00716863" w:rsidRDefault="000A3D1C" w:rsidP="003D1D5A">
            <w:pPr>
              <w:jc w:val="both"/>
            </w:pPr>
            <w:r w:rsidRPr="00716863">
              <w:t>Восстановлена сумма НДС по похищенному основному средству, ранее принятая к вычету (14 850 рублей х 18%)</w:t>
            </w:r>
          </w:p>
        </w:tc>
      </w:tr>
      <w:tr w:rsidR="000A3D1C" w:rsidRPr="00716863" w:rsidTr="003D1D5A">
        <w:trPr>
          <w:tblCellSpacing w:w="0" w:type="dxa"/>
        </w:trPr>
        <w:tc>
          <w:tcPr>
            <w:tcW w:w="6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91-2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94</w:t>
            </w:r>
          </w:p>
        </w:tc>
        <w:tc>
          <w:tcPr>
            <w:tcW w:w="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D1C" w:rsidRPr="00716863" w:rsidRDefault="000A3D1C" w:rsidP="003D1D5A">
            <w:pPr>
              <w:jc w:val="both"/>
            </w:pPr>
            <w:r w:rsidRPr="00716863">
              <w:t>17 523</w:t>
            </w:r>
          </w:p>
        </w:tc>
        <w:tc>
          <w:tcPr>
            <w:tcW w:w="2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3D1C" w:rsidRPr="00716863" w:rsidRDefault="000A3D1C" w:rsidP="003D1D5A">
            <w:pPr>
              <w:jc w:val="both"/>
            </w:pPr>
            <w:r w:rsidRPr="00716863">
              <w:t>Списан убыток от хищения ксерокса</w:t>
            </w:r>
          </w:p>
        </w:tc>
      </w:tr>
    </w:tbl>
    <w:p w:rsidR="000A3D1C" w:rsidRPr="009D031C" w:rsidRDefault="000A3D1C" w:rsidP="000A3D1C">
      <w:pPr>
        <w:spacing w:before="120"/>
        <w:jc w:val="center"/>
        <w:rPr>
          <w:b/>
          <w:bCs/>
          <w:sz w:val="28"/>
          <w:szCs w:val="28"/>
        </w:rPr>
      </w:pPr>
      <w:r w:rsidRPr="009D031C">
        <w:rPr>
          <w:b/>
          <w:bCs/>
          <w:sz w:val="28"/>
          <w:szCs w:val="28"/>
        </w:rPr>
        <w:t>Налоговый учет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Убытки, связанные со списанием выбывших основных средств согласно статье 323 Налогового кодекса Российской Федерации (далее НК РФ) учитываются при исчислении налогооблагаемой прибыли в составе прочих расходов.</w:t>
      </w:r>
    </w:p>
    <w:p w:rsidR="000A3D1C" w:rsidRPr="00716863" w:rsidRDefault="000A3D1C" w:rsidP="000A3D1C">
      <w:pPr>
        <w:spacing w:before="120"/>
        <w:ind w:firstLine="567"/>
        <w:jc w:val="both"/>
      </w:pPr>
      <w:r w:rsidRPr="00716863">
        <w:t>В соответствии с подпунктом 5 пункта 2 статьи 265 НК РФ убытки от хищений, виновники которых не установлены, приравниваются к внереализационным расходам, полученным налогоплательщиком в отчетном периоде. Факт отсутствия виновных лиц должен быть документально подтвержден уполномоченным органом государственной власти. Такими органами могут быть органы внутренних дел или судебные органы.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D1C"/>
    <w:rsid w:val="00002B5A"/>
    <w:rsid w:val="000A3D1C"/>
    <w:rsid w:val="0010437E"/>
    <w:rsid w:val="001C6BCD"/>
    <w:rsid w:val="00316F32"/>
    <w:rsid w:val="003D1D5A"/>
    <w:rsid w:val="005C7F0F"/>
    <w:rsid w:val="00616072"/>
    <w:rsid w:val="006A5004"/>
    <w:rsid w:val="00710178"/>
    <w:rsid w:val="00716863"/>
    <w:rsid w:val="0081563E"/>
    <w:rsid w:val="008B35EE"/>
    <w:rsid w:val="00905CC1"/>
    <w:rsid w:val="009D031C"/>
    <w:rsid w:val="00B42C45"/>
    <w:rsid w:val="00B47B6A"/>
    <w:rsid w:val="00B866CE"/>
    <w:rsid w:val="00D5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36A314-BE54-443C-A684-E0510D8D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A3D1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Списание основных средств в результате хищения</vt:lpstr>
    </vt:vector>
  </TitlesOfParts>
  <Company>Home</Company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Списание основных средств в результате хищения</dc:title>
  <dc:subject/>
  <dc:creator>User</dc:creator>
  <cp:keywords/>
  <dc:description/>
  <cp:lastModifiedBy>admin</cp:lastModifiedBy>
  <cp:revision>2</cp:revision>
  <dcterms:created xsi:type="dcterms:W3CDTF">2014-02-15T01:14:00Z</dcterms:created>
  <dcterms:modified xsi:type="dcterms:W3CDTF">2014-02-15T01:14:00Z</dcterms:modified>
</cp:coreProperties>
</file>