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pPr w:leftFromText="180" w:rightFromText="180" w:vertAnchor="page" w:horzAnchor="margin" w:tblpXSpec="center" w:tblpY="40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851"/>
      </w:tblGrid>
      <w:tr w:rsidR="00085709" w:rsidRPr="00085709">
        <w:tc>
          <w:tcPr>
            <w:tcW w:w="8505" w:type="dxa"/>
          </w:tcPr>
          <w:p w:rsidR="00984B1D" w:rsidRDefault="00984B1D">
            <w:pPr>
              <w:ind w:left="567" w:right="95"/>
              <w:jc w:val="both"/>
              <w:rPr>
                <w:sz w:val="28"/>
                <w:szCs w:val="28"/>
              </w:rPr>
            </w:pPr>
          </w:p>
          <w:p w:rsidR="00085709" w:rsidRPr="00085709" w:rsidRDefault="00085709">
            <w:pPr>
              <w:ind w:left="567" w:right="95"/>
              <w:jc w:val="both"/>
              <w:rPr>
                <w:rFonts w:cs="Arial"/>
                <w:sz w:val="28"/>
                <w:szCs w:val="28"/>
              </w:rPr>
            </w:pPr>
            <w:r w:rsidRPr="00085709">
              <w:rPr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851" w:type="dxa"/>
          </w:tcPr>
          <w:p w:rsidR="00085709" w:rsidRPr="00085709" w:rsidRDefault="00085709">
            <w:pPr>
              <w:ind w:left="567" w:right="95" w:firstLine="709"/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085709" w:rsidRPr="00085709">
        <w:tc>
          <w:tcPr>
            <w:tcW w:w="8505" w:type="dxa"/>
          </w:tcPr>
          <w:p w:rsidR="00085709" w:rsidRPr="00085709" w:rsidRDefault="00085709">
            <w:pPr>
              <w:ind w:left="567" w:right="95"/>
              <w:jc w:val="both"/>
              <w:rPr>
                <w:rFonts w:cs="Arial"/>
                <w:sz w:val="28"/>
                <w:szCs w:val="28"/>
              </w:rPr>
            </w:pPr>
            <w:r w:rsidRPr="00085709">
              <w:rPr>
                <w:sz w:val="28"/>
                <w:szCs w:val="28"/>
              </w:rPr>
              <w:t>по предмету: «</w:t>
            </w:r>
            <w:r w:rsidR="006268FA">
              <w:rPr>
                <w:sz w:val="28"/>
                <w:szCs w:val="28"/>
              </w:rPr>
              <w:t>Геология</w:t>
            </w:r>
            <w:r w:rsidRPr="00085709">
              <w:rPr>
                <w:sz w:val="28"/>
                <w:szCs w:val="28"/>
              </w:rPr>
              <w:t xml:space="preserve">»  </w:t>
            </w:r>
          </w:p>
          <w:p w:rsidR="00085709" w:rsidRPr="00085709" w:rsidRDefault="00085709">
            <w:pPr>
              <w:ind w:left="567" w:right="95"/>
              <w:jc w:val="both"/>
              <w:rPr>
                <w:sz w:val="28"/>
                <w:szCs w:val="28"/>
              </w:rPr>
            </w:pPr>
            <w:r w:rsidRPr="00085709">
              <w:rPr>
                <w:sz w:val="28"/>
                <w:szCs w:val="28"/>
              </w:rPr>
              <w:t xml:space="preserve">студента </w:t>
            </w:r>
            <w:r w:rsidRPr="00085709">
              <w:rPr>
                <w:sz w:val="28"/>
                <w:szCs w:val="28"/>
                <w:lang w:val="en-US"/>
              </w:rPr>
              <w:t>I</w:t>
            </w:r>
            <w:r w:rsidRPr="00085709">
              <w:rPr>
                <w:sz w:val="28"/>
                <w:szCs w:val="28"/>
              </w:rPr>
              <w:t xml:space="preserve"> курса</w:t>
            </w:r>
          </w:p>
          <w:p w:rsidR="00085709" w:rsidRPr="00085709" w:rsidRDefault="00085709">
            <w:pPr>
              <w:ind w:left="567" w:right="95"/>
              <w:jc w:val="both"/>
              <w:rPr>
                <w:sz w:val="28"/>
                <w:szCs w:val="28"/>
              </w:rPr>
            </w:pPr>
            <w:r w:rsidRPr="00085709">
              <w:rPr>
                <w:sz w:val="28"/>
                <w:szCs w:val="28"/>
              </w:rPr>
              <w:t>заочной формы  обучения</w:t>
            </w:r>
          </w:p>
          <w:p w:rsidR="00085709" w:rsidRPr="00085709" w:rsidRDefault="00085709">
            <w:pPr>
              <w:ind w:left="567" w:right="95"/>
              <w:jc w:val="both"/>
              <w:rPr>
                <w:sz w:val="28"/>
                <w:szCs w:val="28"/>
              </w:rPr>
            </w:pPr>
            <w:r w:rsidRPr="00085709">
              <w:rPr>
                <w:sz w:val="28"/>
                <w:szCs w:val="28"/>
              </w:rPr>
              <w:t xml:space="preserve">Ямальского  нефтегазового института </w:t>
            </w:r>
          </w:p>
          <w:p w:rsidR="00085709" w:rsidRPr="00085709" w:rsidRDefault="00085709">
            <w:pPr>
              <w:ind w:left="567" w:right="95"/>
              <w:jc w:val="both"/>
              <w:rPr>
                <w:sz w:val="28"/>
                <w:szCs w:val="28"/>
              </w:rPr>
            </w:pPr>
            <w:r w:rsidRPr="00085709">
              <w:rPr>
                <w:sz w:val="28"/>
                <w:szCs w:val="28"/>
              </w:rPr>
              <w:t>Специальности: «Н</w:t>
            </w:r>
            <w:r>
              <w:rPr>
                <w:sz w:val="28"/>
                <w:szCs w:val="28"/>
              </w:rPr>
              <w:t>РГ</w:t>
            </w:r>
            <w:r w:rsidRPr="00085709">
              <w:rPr>
                <w:sz w:val="28"/>
                <w:szCs w:val="28"/>
              </w:rPr>
              <w:t>-09</w:t>
            </w:r>
            <w:r>
              <w:rPr>
                <w:sz w:val="28"/>
                <w:szCs w:val="28"/>
              </w:rPr>
              <w:t>-з</w:t>
            </w:r>
            <w:r w:rsidRPr="00085709">
              <w:rPr>
                <w:sz w:val="28"/>
                <w:szCs w:val="28"/>
              </w:rPr>
              <w:t>»</w:t>
            </w:r>
          </w:p>
          <w:p w:rsidR="00085709" w:rsidRPr="00085709" w:rsidRDefault="00085709">
            <w:pPr>
              <w:ind w:left="567" w:right="95"/>
              <w:jc w:val="both"/>
              <w:rPr>
                <w:sz w:val="28"/>
                <w:szCs w:val="28"/>
              </w:rPr>
            </w:pPr>
            <w:r w:rsidRPr="00085709">
              <w:rPr>
                <w:sz w:val="28"/>
                <w:szCs w:val="28"/>
              </w:rPr>
              <w:t>шифр ______</w:t>
            </w:r>
          </w:p>
          <w:p w:rsidR="00085709" w:rsidRPr="00085709" w:rsidRDefault="006268FA">
            <w:pPr>
              <w:ind w:left="567" w:right="95"/>
              <w:jc w:val="both"/>
              <w:rPr>
                <w:rFonts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Дзюбан А.Н.</w:t>
            </w:r>
          </w:p>
        </w:tc>
        <w:tc>
          <w:tcPr>
            <w:tcW w:w="851" w:type="dxa"/>
          </w:tcPr>
          <w:p w:rsidR="00085709" w:rsidRPr="00085709" w:rsidRDefault="00085709">
            <w:pPr>
              <w:ind w:left="567" w:right="95" w:firstLine="709"/>
              <w:jc w:val="both"/>
              <w:rPr>
                <w:rFonts w:cs="Arial"/>
                <w:sz w:val="28"/>
                <w:szCs w:val="28"/>
              </w:rPr>
            </w:pPr>
          </w:p>
        </w:tc>
      </w:tr>
    </w:tbl>
    <w:p w:rsidR="00085709" w:rsidRPr="00085709" w:rsidRDefault="00085709" w:rsidP="00085709">
      <w:pPr>
        <w:ind w:left="567" w:right="95" w:firstLine="709"/>
        <w:jc w:val="both"/>
        <w:rPr>
          <w:rFonts w:cs="Arial"/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Default="00B03DBE" w:rsidP="00085709">
      <w:pPr>
        <w:ind w:right="95" w:firstLine="6840"/>
        <w:rPr>
          <w:sz w:val="28"/>
          <w:szCs w:val="28"/>
        </w:rPr>
      </w:pPr>
      <w:r>
        <w:rPr>
          <w:sz w:val="28"/>
          <w:szCs w:val="28"/>
        </w:rPr>
        <w:t>Проверил</w:t>
      </w:r>
      <w:r w:rsidR="00085709" w:rsidRPr="00085709">
        <w:rPr>
          <w:sz w:val="28"/>
          <w:szCs w:val="28"/>
        </w:rPr>
        <w:t>:</w:t>
      </w:r>
    </w:p>
    <w:p w:rsidR="00B03DBE" w:rsidRPr="00085709" w:rsidRDefault="00B03DBE" w:rsidP="00085709">
      <w:pPr>
        <w:ind w:right="95" w:firstLine="6840"/>
        <w:rPr>
          <w:sz w:val="28"/>
          <w:szCs w:val="28"/>
        </w:rPr>
      </w:pPr>
      <w:r>
        <w:rPr>
          <w:sz w:val="28"/>
          <w:szCs w:val="28"/>
        </w:rPr>
        <w:t>к.г.-м.н., доцент</w:t>
      </w:r>
    </w:p>
    <w:p w:rsidR="00085709" w:rsidRPr="00085709" w:rsidRDefault="006268FA" w:rsidP="00085709">
      <w:pPr>
        <w:ind w:left="567" w:right="95" w:firstLine="6273"/>
        <w:jc w:val="both"/>
        <w:rPr>
          <w:sz w:val="28"/>
          <w:szCs w:val="28"/>
        </w:rPr>
      </w:pPr>
      <w:r>
        <w:rPr>
          <w:sz w:val="28"/>
          <w:szCs w:val="28"/>
        </w:rPr>
        <w:t>Усанина</w:t>
      </w:r>
      <w:r w:rsidR="00B03DBE">
        <w:rPr>
          <w:sz w:val="28"/>
          <w:szCs w:val="28"/>
        </w:rPr>
        <w:t xml:space="preserve"> Т.В. </w:t>
      </w: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both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center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center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center"/>
        <w:rPr>
          <w:sz w:val="28"/>
          <w:szCs w:val="28"/>
        </w:rPr>
      </w:pPr>
    </w:p>
    <w:p w:rsidR="00085709" w:rsidRPr="00085709" w:rsidRDefault="00085709" w:rsidP="00085709">
      <w:pPr>
        <w:ind w:left="567" w:right="95" w:firstLine="709"/>
        <w:jc w:val="center"/>
        <w:rPr>
          <w:sz w:val="28"/>
          <w:szCs w:val="28"/>
        </w:rPr>
      </w:pPr>
      <w:r w:rsidRPr="00085709">
        <w:rPr>
          <w:sz w:val="28"/>
          <w:szCs w:val="28"/>
        </w:rPr>
        <w:t>г. Новый Уренгой</w:t>
      </w:r>
    </w:p>
    <w:p w:rsidR="00085709" w:rsidRPr="00085709" w:rsidRDefault="00085709" w:rsidP="00085709">
      <w:pPr>
        <w:ind w:left="567" w:right="95" w:firstLine="709"/>
        <w:jc w:val="center"/>
        <w:rPr>
          <w:sz w:val="28"/>
          <w:szCs w:val="28"/>
        </w:rPr>
      </w:pPr>
      <w:r w:rsidRPr="00085709">
        <w:rPr>
          <w:sz w:val="28"/>
          <w:szCs w:val="28"/>
        </w:rPr>
        <w:t>2009 г.</w:t>
      </w:r>
    </w:p>
    <w:p w:rsidR="00085709" w:rsidRPr="00085709" w:rsidRDefault="00085709" w:rsidP="00085709">
      <w:pPr>
        <w:rPr>
          <w:sz w:val="28"/>
          <w:szCs w:val="28"/>
        </w:rPr>
      </w:pPr>
    </w:p>
    <w:p w:rsidR="0087753E" w:rsidRDefault="00BF6948" w:rsidP="00BF6948">
      <w:pPr>
        <w:jc w:val="center"/>
        <w:rPr>
          <w:b/>
          <w:sz w:val="28"/>
          <w:szCs w:val="28"/>
        </w:rPr>
      </w:pPr>
      <w:r w:rsidRPr="00BF6948">
        <w:rPr>
          <w:b/>
          <w:sz w:val="28"/>
          <w:szCs w:val="28"/>
        </w:rPr>
        <w:t>СОДЕРЖАНИЕ</w:t>
      </w:r>
    </w:p>
    <w:p w:rsidR="00BF6948" w:rsidRPr="00BF6948" w:rsidRDefault="00BF6948" w:rsidP="00BF6948">
      <w:pPr>
        <w:jc w:val="center"/>
        <w:rPr>
          <w:b/>
          <w:sz w:val="28"/>
          <w:szCs w:val="28"/>
        </w:rPr>
      </w:pPr>
    </w:p>
    <w:p w:rsidR="00B03DBE" w:rsidRDefault="00347641" w:rsidP="00B03DBE">
      <w:pPr>
        <w:pStyle w:val="10"/>
        <w:tabs>
          <w:tab w:val="right" w:leader="dot" w:pos="9345"/>
        </w:tabs>
        <w:spacing w:line="360" w:lineRule="auto"/>
        <w:rPr>
          <w:noProof/>
          <w:sz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50934264" w:history="1">
        <w:r w:rsidR="00B03DBE" w:rsidRPr="00586F17">
          <w:rPr>
            <w:rStyle w:val="a4"/>
            <w:noProof/>
          </w:rPr>
          <w:t>1. Геологическая деятельность болот</w:t>
        </w:r>
        <w:r w:rsidR="00B03DBE">
          <w:rPr>
            <w:noProof/>
            <w:webHidden/>
          </w:rPr>
          <w:tab/>
        </w:r>
        <w:r w:rsidR="00B03DBE">
          <w:rPr>
            <w:noProof/>
            <w:webHidden/>
          </w:rPr>
          <w:fldChar w:fldCharType="begin"/>
        </w:r>
        <w:r w:rsidR="00B03DBE">
          <w:rPr>
            <w:noProof/>
            <w:webHidden/>
          </w:rPr>
          <w:instrText xml:space="preserve"> PAGEREF _Toc250934264 \h </w:instrText>
        </w:r>
        <w:r w:rsidR="00B03DBE">
          <w:rPr>
            <w:noProof/>
            <w:webHidden/>
          </w:rPr>
        </w:r>
        <w:r w:rsidR="00B03DBE">
          <w:rPr>
            <w:noProof/>
            <w:webHidden/>
          </w:rPr>
          <w:fldChar w:fldCharType="separate"/>
        </w:r>
        <w:r w:rsidR="00B03DBE">
          <w:rPr>
            <w:noProof/>
            <w:webHidden/>
          </w:rPr>
          <w:t>3</w:t>
        </w:r>
        <w:r w:rsidR="00B03DBE">
          <w:rPr>
            <w:noProof/>
            <w:webHidden/>
          </w:rPr>
          <w:fldChar w:fldCharType="end"/>
        </w:r>
      </w:hyperlink>
    </w:p>
    <w:p w:rsidR="00B03DBE" w:rsidRDefault="00222FEE" w:rsidP="00B03DBE">
      <w:pPr>
        <w:pStyle w:val="10"/>
        <w:tabs>
          <w:tab w:val="right" w:leader="dot" w:pos="9345"/>
        </w:tabs>
        <w:spacing w:line="360" w:lineRule="auto"/>
        <w:rPr>
          <w:noProof/>
          <w:sz w:val="24"/>
        </w:rPr>
      </w:pPr>
      <w:hyperlink w:anchor="_Toc250934265" w:history="1">
        <w:r w:rsidR="00B03DBE" w:rsidRPr="00586F17">
          <w:rPr>
            <w:rStyle w:val="a4"/>
            <w:noProof/>
          </w:rPr>
          <w:t>2. Самородные элементы</w:t>
        </w:r>
        <w:r w:rsidR="00B03DBE">
          <w:rPr>
            <w:noProof/>
            <w:webHidden/>
          </w:rPr>
          <w:tab/>
        </w:r>
        <w:r w:rsidR="00B03DBE">
          <w:rPr>
            <w:noProof/>
            <w:webHidden/>
          </w:rPr>
          <w:fldChar w:fldCharType="begin"/>
        </w:r>
        <w:r w:rsidR="00B03DBE">
          <w:rPr>
            <w:noProof/>
            <w:webHidden/>
          </w:rPr>
          <w:instrText xml:space="preserve"> PAGEREF _Toc250934265 \h </w:instrText>
        </w:r>
        <w:r w:rsidR="00B03DBE">
          <w:rPr>
            <w:noProof/>
            <w:webHidden/>
          </w:rPr>
        </w:r>
        <w:r w:rsidR="00B03DBE">
          <w:rPr>
            <w:noProof/>
            <w:webHidden/>
          </w:rPr>
          <w:fldChar w:fldCharType="separate"/>
        </w:r>
        <w:r w:rsidR="00B03DBE">
          <w:rPr>
            <w:noProof/>
            <w:webHidden/>
          </w:rPr>
          <w:t>6</w:t>
        </w:r>
        <w:r w:rsidR="00B03DBE">
          <w:rPr>
            <w:noProof/>
            <w:webHidden/>
          </w:rPr>
          <w:fldChar w:fldCharType="end"/>
        </w:r>
      </w:hyperlink>
    </w:p>
    <w:p w:rsidR="00B03DBE" w:rsidRDefault="00222FEE" w:rsidP="00B03DBE">
      <w:pPr>
        <w:pStyle w:val="10"/>
        <w:tabs>
          <w:tab w:val="right" w:leader="dot" w:pos="9345"/>
        </w:tabs>
        <w:spacing w:line="360" w:lineRule="auto"/>
        <w:rPr>
          <w:noProof/>
          <w:sz w:val="24"/>
        </w:rPr>
      </w:pPr>
      <w:hyperlink w:anchor="_Toc250934266" w:history="1">
        <w:r w:rsidR="00B03DBE" w:rsidRPr="00586F17">
          <w:rPr>
            <w:rStyle w:val="a4"/>
            <w:noProof/>
          </w:rPr>
          <w:t>3. Геологическое строение сеноманской газовой залежи на примере Уренгойского месторождения</w:t>
        </w:r>
        <w:r w:rsidR="00B03DBE">
          <w:rPr>
            <w:noProof/>
            <w:webHidden/>
          </w:rPr>
          <w:tab/>
        </w:r>
        <w:r w:rsidR="00B03DBE">
          <w:rPr>
            <w:noProof/>
            <w:webHidden/>
          </w:rPr>
          <w:fldChar w:fldCharType="begin"/>
        </w:r>
        <w:r w:rsidR="00B03DBE">
          <w:rPr>
            <w:noProof/>
            <w:webHidden/>
          </w:rPr>
          <w:instrText xml:space="preserve"> PAGEREF _Toc250934266 \h </w:instrText>
        </w:r>
        <w:r w:rsidR="00B03DBE">
          <w:rPr>
            <w:noProof/>
            <w:webHidden/>
          </w:rPr>
        </w:r>
        <w:r w:rsidR="00B03DBE">
          <w:rPr>
            <w:noProof/>
            <w:webHidden/>
          </w:rPr>
          <w:fldChar w:fldCharType="separate"/>
        </w:r>
        <w:r w:rsidR="00B03DBE">
          <w:rPr>
            <w:noProof/>
            <w:webHidden/>
          </w:rPr>
          <w:t>7</w:t>
        </w:r>
        <w:r w:rsidR="00B03DBE">
          <w:rPr>
            <w:noProof/>
            <w:webHidden/>
          </w:rPr>
          <w:fldChar w:fldCharType="end"/>
        </w:r>
      </w:hyperlink>
    </w:p>
    <w:p w:rsidR="00B03DBE" w:rsidRDefault="00222FEE" w:rsidP="00B03DBE">
      <w:pPr>
        <w:pStyle w:val="10"/>
        <w:tabs>
          <w:tab w:val="right" w:leader="dot" w:pos="9345"/>
        </w:tabs>
        <w:spacing w:line="360" w:lineRule="auto"/>
        <w:rPr>
          <w:noProof/>
          <w:sz w:val="24"/>
        </w:rPr>
      </w:pPr>
      <w:hyperlink w:anchor="_Toc250934267" w:history="1">
        <w:r w:rsidR="00B03DBE" w:rsidRPr="00586F17">
          <w:rPr>
            <w:rStyle w:val="a4"/>
            <w:noProof/>
          </w:rPr>
          <w:t>4. Состояние нефти и газа в пластовых условиях</w:t>
        </w:r>
        <w:r w:rsidR="00B03DBE">
          <w:rPr>
            <w:noProof/>
            <w:webHidden/>
          </w:rPr>
          <w:tab/>
        </w:r>
        <w:r w:rsidR="00B03DBE">
          <w:rPr>
            <w:noProof/>
            <w:webHidden/>
          </w:rPr>
          <w:fldChar w:fldCharType="begin"/>
        </w:r>
        <w:r w:rsidR="00B03DBE">
          <w:rPr>
            <w:noProof/>
            <w:webHidden/>
          </w:rPr>
          <w:instrText xml:space="preserve"> PAGEREF _Toc250934267 \h </w:instrText>
        </w:r>
        <w:r w:rsidR="00B03DBE">
          <w:rPr>
            <w:noProof/>
            <w:webHidden/>
          </w:rPr>
        </w:r>
        <w:r w:rsidR="00B03DBE">
          <w:rPr>
            <w:noProof/>
            <w:webHidden/>
          </w:rPr>
          <w:fldChar w:fldCharType="separate"/>
        </w:r>
        <w:r w:rsidR="00B03DBE">
          <w:rPr>
            <w:noProof/>
            <w:webHidden/>
          </w:rPr>
          <w:t>10</w:t>
        </w:r>
        <w:r w:rsidR="00B03DBE">
          <w:rPr>
            <w:noProof/>
            <w:webHidden/>
          </w:rPr>
          <w:fldChar w:fldCharType="end"/>
        </w:r>
      </w:hyperlink>
    </w:p>
    <w:p w:rsidR="00B03DBE" w:rsidRDefault="00222FEE" w:rsidP="00B03DBE">
      <w:pPr>
        <w:pStyle w:val="10"/>
        <w:tabs>
          <w:tab w:val="right" w:leader="dot" w:pos="9345"/>
        </w:tabs>
        <w:spacing w:line="360" w:lineRule="auto"/>
        <w:rPr>
          <w:noProof/>
          <w:sz w:val="24"/>
        </w:rPr>
      </w:pPr>
      <w:hyperlink w:anchor="_Toc250934268" w:history="1">
        <w:r w:rsidR="00B03DBE" w:rsidRPr="00586F17">
          <w:rPr>
            <w:rStyle w:val="a4"/>
            <w:noProof/>
          </w:rPr>
          <w:t>Список использованной литературы</w:t>
        </w:r>
        <w:r w:rsidR="00B03DBE">
          <w:rPr>
            <w:noProof/>
            <w:webHidden/>
          </w:rPr>
          <w:tab/>
        </w:r>
        <w:r w:rsidR="00B03DBE">
          <w:rPr>
            <w:noProof/>
            <w:webHidden/>
          </w:rPr>
          <w:fldChar w:fldCharType="begin"/>
        </w:r>
        <w:r w:rsidR="00B03DBE">
          <w:rPr>
            <w:noProof/>
            <w:webHidden/>
          </w:rPr>
          <w:instrText xml:space="preserve"> PAGEREF _Toc250934268 \h </w:instrText>
        </w:r>
        <w:r w:rsidR="00B03DBE">
          <w:rPr>
            <w:noProof/>
            <w:webHidden/>
          </w:rPr>
        </w:r>
        <w:r w:rsidR="00B03DBE">
          <w:rPr>
            <w:noProof/>
            <w:webHidden/>
          </w:rPr>
          <w:fldChar w:fldCharType="separate"/>
        </w:r>
        <w:r w:rsidR="00B03DBE">
          <w:rPr>
            <w:noProof/>
            <w:webHidden/>
          </w:rPr>
          <w:t>17</w:t>
        </w:r>
        <w:r w:rsidR="00B03DBE">
          <w:rPr>
            <w:noProof/>
            <w:webHidden/>
          </w:rPr>
          <w:fldChar w:fldCharType="end"/>
        </w:r>
      </w:hyperlink>
    </w:p>
    <w:p w:rsidR="00347641" w:rsidRDefault="00347641" w:rsidP="0087753E">
      <w:pPr>
        <w:pStyle w:val="1"/>
        <w:ind w:firstLine="720"/>
        <w:jc w:val="both"/>
      </w:pPr>
      <w:r>
        <w:fldChar w:fldCharType="end"/>
      </w:r>
    </w:p>
    <w:p w:rsidR="00ED1BA7" w:rsidRPr="0087753E" w:rsidRDefault="0087753E" w:rsidP="0087753E">
      <w:pPr>
        <w:pStyle w:val="1"/>
        <w:ind w:firstLine="720"/>
        <w:jc w:val="both"/>
        <w:rPr>
          <w:sz w:val="28"/>
        </w:rPr>
      </w:pPr>
      <w:r>
        <w:br w:type="page"/>
      </w:r>
      <w:bookmarkStart w:id="0" w:name="_Toc250934264"/>
      <w:r w:rsidRPr="0087753E">
        <w:rPr>
          <w:sz w:val="28"/>
        </w:rPr>
        <w:t xml:space="preserve">1. </w:t>
      </w:r>
      <w:r w:rsidR="00ED1BA7" w:rsidRPr="0087753E">
        <w:rPr>
          <w:sz w:val="28"/>
        </w:rPr>
        <w:t>Геологическая деятельность болот</w:t>
      </w:r>
      <w:bookmarkEnd w:id="0"/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Болото представляет собой аккумулятивные образования, характеризующиеся временным или постоянным, избыточным увлажнением, наличием влаголюбивой растительности и присутствием торфяных залежей. Влажные зоны теплого и умеренного климата – основные участки суши, где болотный процесс является ведущим, а общая площадь современных болот на земном шаре превышает 2 млн. км</w:t>
      </w:r>
      <w:r w:rsidRPr="00347641">
        <w:rPr>
          <w:sz w:val="28"/>
          <w:szCs w:val="28"/>
          <w:vertAlign w:val="superscript"/>
        </w:rPr>
        <w:t>2</w:t>
      </w:r>
      <w:r w:rsidRPr="0087753E">
        <w:rPr>
          <w:sz w:val="28"/>
          <w:szCs w:val="28"/>
        </w:rPr>
        <w:t xml:space="preserve"> и торфяные залежи распространены на площади в 113 гектаров.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Для существования болота необходим высокий уровень стояния грунтовых вод, наличие впадин в рельефе поверхности Земли, достаточное количество осадков и отсутствие контраста их распределения по временам года и значительная биомасса влаголюбивой растительности.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Типы болот определяются условиями их формирования и положением в рельефе местности.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 xml:space="preserve">Низинные болота характерны для понижений в рельефе и приурочены к плоским, иногда обширным низинам, окаймленным возвышенностями. В таких </w:t>
      </w:r>
      <w:r w:rsidR="0087753E" w:rsidRPr="0087753E">
        <w:rPr>
          <w:sz w:val="28"/>
          <w:szCs w:val="28"/>
        </w:rPr>
        <w:t>низинах</w:t>
      </w:r>
      <w:r w:rsidRPr="0087753E">
        <w:rPr>
          <w:sz w:val="28"/>
          <w:szCs w:val="28"/>
        </w:rPr>
        <w:t xml:space="preserve"> водный сток обычно замедленный, питаются они либо за </w:t>
      </w:r>
      <w:r w:rsidR="0087753E" w:rsidRPr="0087753E">
        <w:rPr>
          <w:sz w:val="28"/>
          <w:szCs w:val="28"/>
        </w:rPr>
        <w:t>счет</w:t>
      </w:r>
      <w:r w:rsidRPr="0087753E">
        <w:rPr>
          <w:sz w:val="28"/>
          <w:szCs w:val="28"/>
        </w:rPr>
        <w:t xml:space="preserve"> поверхностных текучих вод, либо подземного стока при наличии неглубоко залегающего водоупора. В низинных болотах влаголюбивая растительность обладает большой массой и представлена осокой, тростником, различными мхами, кустарниками. Нередко озера, постепенно зарастающие, превращаются в болота низинного типа.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Верховые болота имеют меньшие размеры, чем низинные и располагаются во впадинах на возвышенных участках рельефа. Питаются верховые болота за счет атмосферных осадков, т.к. на водоразделах уровень грунтовых вод залегает глубоко и необходим близповерхностный слой водоупорных пород, чтобы задерживать влагу. В верховых болотах, бедных минеральными солями, распространен белый сфагновый мох, а также различные кустарники и древесная растительность, т.к. верховые болота быстро зарастают.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Переходный тип болот характеризуется питанием как за счет подземных вод, так и атмосферных осадков и в таких болотах развита растительность, не требующая большого количества минеральных веществ.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Болота приморских низин занимают обширные пространства побережий во влажных субтропиках и тропиках, где развиваются особые типы древесной растительности, корни которой расходятся от ствола еще над водой и погружены ниже уровня болота в виде растопыренных «пальцев». Особенно характерны тропические болота с мангровыми деревьями, имеющими ходульные и дыхательные корни (пневматофоры). Такие мангровые заросли на илистых приморских низинах периодически затопляются водами океанов во время приливов. Мангровые болота распространены в Южной Азии, Восточной Африке, в Австралии и на островах Тихого океана.</w:t>
      </w:r>
    </w:p>
    <w:p w:rsidR="00ED1BA7" w:rsidRPr="0087753E" w:rsidRDefault="0087753E" w:rsidP="0087753E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Происхождение болот и отложения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Крупные болотные районы с интенсивным накоплением торфа приурочены к обширным пространствам в Западно-Сибирской низменности, на севере Восточно-Европейской равнины, в Прибалтике. Горизонтальная климатическая зональность, радиационный баланс, количество атмосферных осадков обеспечивают высокую степень увлажненности и замедленный, почти до полного его прекращения, сток в условиях очень слабо расчлененного рельефа. Возникают торфяно-болотные ассоциации, как, например, в Мещёре, Припятском Полесье, на Обь-Иртышском междуречье в Западной Сибири.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Существование болот зависит от ежегодного прироста биомассы и, одновременно, процесса опада – отмирания растений. Когда прирост биомассы и величина опада сравняются, за этим наступает период деградации биомассы и болота в целом.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В речных долинах, где развиты многочисленные меандры и старицы, скорость стока вод замедляется настолько, что в илистом грунте начинают укореняться ростки водных растений, которые, в свою очередь, еще более замедляют и так невысокую скорость течения, и начинается зарастание дна. Река уже не дренирует пойму, в ней возникает избыточное увлажнение и рост специфической болотной растительности. Образуется пойменное болото, обычно развивающееся там, где преобладает аккумулятивная деятельность поверхностных вод.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 xml:space="preserve">Нередко болота образуются при зарастании озер, которое происходит от берегов к середине. Осенью водные растения отмирают, падают на дно и формируют слой растительного ила, который постепенно превращается в торф. Наконец, озеро полностью зарастает и превращается в озерное болото. Иногда, на сравнительно глубоких озерах, водная поверхность покрывается, как одеялом, слоем растений и мхов, называемым зыбуном или сплавиной, ниже которого находится чистая вода, а на дне скапливается торф. Такой слоистый «пирог» постепенно лишается чистой воды в середине и сплавина смыкается с донной торфяной залежью.            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Среди болотных отложений наибольшее значение имеет торф, образующийся в результате накопления отмершей болотной растительности – различных трав, мхов, кустарников и деревьев. Погрузившаяся в воду растительность, постепенно образует слой в несколько метров, в котором, при недостатке кислорода происходит неполное разложение остатков растительности с помощью микроорганизмов, формирование гумусв – темного аморфного органического вещества и увеличение содержания углерода до 55- 60%. Следовательно, торф – это полуразложившиеся растительные остатки бурого цвета. Различные виды торфа связаны с преобладающим типом болотной растительности – осоковой, тростниковой, древесной, сфагновой (моховой) и др. Для образования торфа необходима избыточная увлажненность, замедленный водообмен, низкая степень аэрации, формирование особой геохимической среды. В торфе содержится не более 50% минеральных компонентов в пересчете на сухое вещество.</w:t>
      </w:r>
    </w:p>
    <w:p w:rsidR="00ED1BA7" w:rsidRPr="0087753E" w:rsidRDefault="00ED1BA7" w:rsidP="0087753E">
      <w:pPr>
        <w:spacing w:line="360" w:lineRule="auto"/>
        <w:ind w:firstLine="720"/>
        <w:jc w:val="both"/>
        <w:rPr>
          <w:sz w:val="28"/>
          <w:szCs w:val="28"/>
        </w:rPr>
      </w:pPr>
      <w:r w:rsidRPr="0087753E">
        <w:rPr>
          <w:sz w:val="28"/>
          <w:szCs w:val="28"/>
        </w:rPr>
        <w:t>Районы с интенсивным торфонакоплением приурочены к зоне умеренного климата в Северном полушарии и в бассейне Конго в Центральной Африке. Торф используется как топливо, хотя и невысокого качества из-за большой зольности. Под Москвой уже почти 100 лет работает Шатурская ТЭС, потребляющая торф из обширных болот, где мощность торфа превышает 10 метров. Второе. По важности, применение торфа – удобрение в сельском хозяйстве. Из торфа получают также теплоизоляционный материал, деготь, парафин, воск и др. Мировые запасы торфа превышают 500 млрд. т, из них на Россию приходится около 190 млрд. тонн.</w:t>
      </w:r>
    </w:p>
    <w:p w:rsidR="0049453F" w:rsidRPr="00347641" w:rsidRDefault="00347641" w:rsidP="00347641">
      <w:pPr>
        <w:pStyle w:val="1"/>
        <w:spacing w:line="360" w:lineRule="auto"/>
        <w:ind w:firstLine="720"/>
        <w:rPr>
          <w:sz w:val="28"/>
          <w:szCs w:val="28"/>
        </w:rPr>
      </w:pPr>
      <w:bookmarkStart w:id="1" w:name="_Toc250934265"/>
      <w:r w:rsidRPr="00347641">
        <w:rPr>
          <w:sz w:val="28"/>
          <w:szCs w:val="28"/>
        </w:rPr>
        <w:t xml:space="preserve">2. </w:t>
      </w:r>
      <w:r w:rsidR="0049453F" w:rsidRPr="00347641">
        <w:rPr>
          <w:sz w:val="28"/>
          <w:szCs w:val="28"/>
        </w:rPr>
        <w:t>Самородные элементы</w:t>
      </w:r>
      <w:bookmarkEnd w:id="1"/>
    </w:p>
    <w:p w:rsidR="0049453F" w:rsidRPr="00347641" w:rsidRDefault="00347641" w:rsidP="0034764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Самородные элементы - </w:t>
      </w:r>
      <w:r w:rsidR="0049453F" w:rsidRPr="00347641">
        <w:rPr>
          <w:sz w:val="28"/>
          <w:szCs w:val="28"/>
        </w:rPr>
        <w:t xml:space="preserve">химические элементы, встречающиеся в природе в виде более или менее устойчивых минералов. Среди </w:t>
      </w:r>
      <w:r>
        <w:rPr>
          <w:sz w:val="28"/>
          <w:szCs w:val="28"/>
        </w:rPr>
        <w:t xml:space="preserve">самородных элементов </w:t>
      </w:r>
      <w:r w:rsidR="0049453F" w:rsidRPr="00347641">
        <w:rPr>
          <w:sz w:val="28"/>
          <w:szCs w:val="28"/>
        </w:rPr>
        <w:t>различают: неметаллы (полиморфные модификации углерода — алмаз и графит, самородные S, Se, Te), полуметаллы (самородные As, Sb) и металлы (самородные Au, Ag, Сu, Pt, Pd, lr, Fe, Ta, Pb, Zn, Sn, Hg, Bi). Обычно вместе с самородными металлами рассматриваются тесно связанные с ними (минералогически и генетически) их твёрдые растворы, а иногда и интерметаллические соединения. Например, минералы группы платины наряду с редкой собственно платиной включают ферроплатину, поликсен и др. В самородном состоянии в природных условиях существует также ряд газов: азот, кислород, водород, аргон, гелий, криптон, ксенон, радон.</w:t>
      </w:r>
    </w:p>
    <w:p w:rsidR="0049453F" w:rsidRPr="00347641" w:rsidRDefault="0049453F" w:rsidP="00347641">
      <w:pPr>
        <w:spacing w:line="360" w:lineRule="auto"/>
        <w:ind w:firstLine="720"/>
        <w:jc w:val="both"/>
        <w:rPr>
          <w:sz w:val="28"/>
          <w:szCs w:val="28"/>
        </w:rPr>
      </w:pPr>
      <w:r w:rsidRPr="00347641">
        <w:rPr>
          <w:sz w:val="28"/>
          <w:szCs w:val="28"/>
        </w:rPr>
        <w:t xml:space="preserve">Большинство </w:t>
      </w:r>
      <w:r w:rsidR="00D957B8">
        <w:rPr>
          <w:sz w:val="28"/>
          <w:szCs w:val="28"/>
        </w:rPr>
        <w:t>самородных элементов</w:t>
      </w:r>
      <w:r w:rsidRPr="00347641">
        <w:rPr>
          <w:sz w:val="28"/>
          <w:szCs w:val="28"/>
        </w:rPr>
        <w:t xml:space="preserve"> встречается редко и лишь в особых условиях образует крупные скопления (месторождения). Важное промышленное значение из металлов имеют </w:t>
      </w:r>
      <w:r w:rsidR="00D957B8" w:rsidRPr="00222FEE">
        <w:rPr>
          <w:sz w:val="28"/>
          <w:szCs w:val="28"/>
        </w:rPr>
        <w:t>з</w:t>
      </w:r>
      <w:r w:rsidRPr="00222FEE">
        <w:rPr>
          <w:sz w:val="28"/>
          <w:szCs w:val="28"/>
        </w:rPr>
        <w:t>олото самородное</w:t>
      </w:r>
      <w:r w:rsidRPr="00347641">
        <w:rPr>
          <w:sz w:val="28"/>
          <w:szCs w:val="28"/>
        </w:rPr>
        <w:t xml:space="preserve"> и элементы группы платины, меньшее </w:t>
      </w:r>
      <w:r w:rsidR="00D957B8">
        <w:rPr>
          <w:sz w:val="28"/>
          <w:szCs w:val="28"/>
        </w:rPr>
        <w:t>-</w:t>
      </w:r>
      <w:r w:rsidRPr="00347641">
        <w:rPr>
          <w:sz w:val="28"/>
          <w:szCs w:val="28"/>
        </w:rPr>
        <w:t xml:space="preserve"> </w:t>
      </w:r>
      <w:r w:rsidR="00D957B8" w:rsidRPr="00222FEE">
        <w:rPr>
          <w:sz w:val="28"/>
          <w:szCs w:val="28"/>
        </w:rPr>
        <w:t>м</w:t>
      </w:r>
      <w:r w:rsidRPr="00222FEE">
        <w:rPr>
          <w:sz w:val="28"/>
          <w:szCs w:val="28"/>
        </w:rPr>
        <w:t>едь самородная</w:t>
      </w:r>
      <w:r w:rsidRPr="00347641">
        <w:rPr>
          <w:sz w:val="28"/>
          <w:szCs w:val="28"/>
        </w:rPr>
        <w:t xml:space="preserve">, входящая в состав руд некоторых типов месторождений, ещё меньшее </w:t>
      </w:r>
      <w:r w:rsidR="00D957B8">
        <w:rPr>
          <w:sz w:val="28"/>
          <w:szCs w:val="28"/>
        </w:rPr>
        <w:t>-</w:t>
      </w:r>
      <w:r w:rsidRPr="00347641">
        <w:rPr>
          <w:sz w:val="28"/>
          <w:szCs w:val="28"/>
        </w:rPr>
        <w:t xml:space="preserve"> </w:t>
      </w:r>
      <w:r w:rsidR="00D957B8" w:rsidRPr="00222FEE">
        <w:rPr>
          <w:sz w:val="28"/>
          <w:szCs w:val="28"/>
        </w:rPr>
        <w:t>с</w:t>
      </w:r>
      <w:r w:rsidRPr="00222FEE">
        <w:rPr>
          <w:sz w:val="28"/>
          <w:szCs w:val="28"/>
        </w:rPr>
        <w:t>еребро самородное</w:t>
      </w:r>
      <w:r w:rsidR="00D957B8">
        <w:rPr>
          <w:sz w:val="28"/>
          <w:szCs w:val="28"/>
        </w:rPr>
        <w:t xml:space="preserve">. </w:t>
      </w:r>
      <w:r w:rsidR="00D957B8" w:rsidRPr="00347641">
        <w:rPr>
          <w:sz w:val="28"/>
          <w:szCs w:val="28"/>
        </w:rPr>
        <w:t xml:space="preserve">Из </w:t>
      </w:r>
      <w:r w:rsidRPr="00347641">
        <w:rPr>
          <w:sz w:val="28"/>
          <w:szCs w:val="28"/>
        </w:rPr>
        <w:t xml:space="preserve">неметаллов большое значение имеют </w:t>
      </w:r>
      <w:r w:rsidR="00D957B8" w:rsidRPr="00222FEE">
        <w:rPr>
          <w:sz w:val="28"/>
          <w:szCs w:val="28"/>
        </w:rPr>
        <w:t>а</w:t>
      </w:r>
      <w:r w:rsidRPr="00222FEE">
        <w:rPr>
          <w:sz w:val="28"/>
          <w:szCs w:val="28"/>
        </w:rPr>
        <w:t>лмаз</w:t>
      </w:r>
      <w:r w:rsidRPr="00347641">
        <w:rPr>
          <w:sz w:val="28"/>
          <w:szCs w:val="28"/>
        </w:rPr>
        <w:t xml:space="preserve">, </w:t>
      </w:r>
      <w:r w:rsidR="00D957B8" w:rsidRPr="00222FEE">
        <w:rPr>
          <w:sz w:val="28"/>
          <w:szCs w:val="28"/>
        </w:rPr>
        <w:t>графит</w:t>
      </w:r>
      <w:r w:rsidRPr="00347641">
        <w:rPr>
          <w:sz w:val="28"/>
          <w:szCs w:val="28"/>
        </w:rPr>
        <w:t xml:space="preserve">, </w:t>
      </w:r>
      <w:r w:rsidR="00D957B8" w:rsidRPr="00222FEE">
        <w:rPr>
          <w:sz w:val="28"/>
          <w:szCs w:val="28"/>
        </w:rPr>
        <w:t>сера</w:t>
      </w:r>
      <w:r w:rsidRPr="00347641">
        <w:rPr>
          <w:sz w:val="28"/>
          <w:szCs w:val="28"/>
        </w:rPr>
        <w:t>. В лунных породах и метеоритах распространены самородное железо и железо-никель, редко встречающиеся в земной коре.</w:t>
      </w:r>
    </w:p>
    <w:p w:rsidR="0049453F" w:rsidRDefault="0049453F" w:rsidP="00347641">
      <w:pPr>
        <w:spacing w:line="360" w:lineRule="auto"/>
        <w:ind w:firstLine="720"/>
        <w:jc w:val="both"/>
        <w:rPr>
          <w:sz w:val="28"/>
          <w:szCs w:val="28"/>
        </w:rPr>
      </w:pPr>
      <w:r w:rsidRPr="00347641">
        <w:rPr>
          <w:sz w:val="28"/>
          <w:szCs w:val="28"/>
        </w:rPr>
        <w:t xml:space="preserve">Для некоторых минералов класса </w:t>
      </w:r>
      <w:r w:rsidR="00D957B8">
        <w:rPr>
          <w:sz w:val="28"/>
          <w:szCs w:val="28"/>
        </w:rPr>
        <w:t>самородных элементов</w:t>
      </w:r>
      <w:r w:rsidRPr="00347641">
        <w:rPr>
          <w:sz w:val="28"/>
          <w:szCs w:val="28"/>
        </w:rPr>
        <w:t xml:space="preserve"> типичны полиморфные модификации. </w:t>
      </w:r>
      <w:r w:rsidR="00D957B8">
        <w:rPr>
          <w:sz w:val="28"/>
          <w:szCs w:val="28"/>
        </w:rPr>
        <w:t>Самородные элементы</w:t>
      </w:r>
      <w:r w:rsidRPr="00347641">
        <w:rPr>
          <w:sz w:val="28"/>
          <w:szCs w:val="28"/>
        </w:rPr>
        <w:t xml:space="preserve">, как и все минералы, характеризуются наличием примесей и разнообразием форм проявления, отражающими условия образования </w:t>
      </w:r>
      <w:r w:rsidR="00D957B8">
        <w:rPr>
          <w:sz w:val="28"/>
          <w:szCs w:val="28"/>
        </w:rPr>
        <w:t>самородных элементов</w:t>
      </w:r>
      <w:r w:rsidRPr="00347641">
        <w:rPr>
          <w:sz w:val="28"/>
          <w:szCs w:val="28"/>
        </w:rPr>
        <w:t xml:space="preserve"> в природе. Происхождение </w:t>
      </w:r>
      <w:r w:rsidR="00D957B8">
        <w:rPr>
          <w:sz w:val="28"/>
          <w:szCs w:val="28"/>
        </w:rPr>
        <w:t>самородных элементов</w:t>
      </w:r>
      <w:r w:rsidRPr="00347641">
        <w:rPr>
          <w:sz w:val="28"/>
          <w:szCs w:val="28"/>
        </w:rPr>
        <w:t xml:space="preserve"> определяется магматическими, гидротермальными, метаморфическими и гипергенными процессами; многие </w:t>
      </w:r>
      <w:r w:rsidR="00D957B8">
        <w:rPr>
          <w:sz w:val="28"/>
          <w:szCs w:val="28"/>
        </w:rPr>
        <w:t>самородные элементы</w:t>
      </w:r>
      <w:r w:rsidR="00150AC6">
        <w:rPr>
          <w:sz w:val="28"/>
          <w:szCs w:val="28"/>
        </w:rPr>
        <w:t xml:space="preserve"> встречаются в россыпях.</w:t>
      </w:r>
    </w:p>
    <w:p w:rsidR="00150AC6" w:rsidRDefault="00150AC6" w:rsidP="00347641">
      <w:pPr>
        <w:spacing w:line="360" w:lineRule="auto"/>
        <w:ind w:firstLine="720"/>
        <w:jc w:val="both"/>
        <w:rPr>
          <w:sz w:val="28"/>
          <w:szCs w:val="28"/>
        </w:rPr>
      </w:pPr>
    </w:p>
    <w:p w:rsidR="00150AC6" w:rsidRPr="002F0CB4" w:rsidRDefault="00150AC6" w:rsidP="002F0CB4">
      <w:pPr>
        <w:pStyle w:val="1"/>
        <w:spacing w:line="360" w:lineRule="auto"/>
        <w:ind w:firstLine="720"/>
        <w:rPr>
          <w:sz w:val="28"/>
          <w:szCs w:val="28"/>
        </w:rPr>
      </w:pPr>
      <w:bookmarkStart w:id="2" w:name="_Toc250934266"/>
      <w:r w:rsidRPr="002F0CB4">
        <w:rPr>
          <w:sz w:val="28"/>
          <w:szCs w:val="28"/>
        </w:rPr>
        <w:t>3. Геологическое строение сеноманской</w:t>
      </w:r>
      <w:r w:rsidR="002F0CB4" w:rsidRPr="002F0CB4">
        <w:rPr>
          <w:sz w:val="28"/>
          <w:szCs w:val="28"/>
        </w:rPr>
        <w:t xml:space="preserve"> газовой залежи на примере Уренгойского месторождения</w:t>
      </w:r>
      <w:bookmarkEnd w:id="2"/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Геологический разрез месторождения представлен песчано-глинистыми отложениями мезозойско-кайнозойского осадочного чехла и метаморфизованными породами палеозойского фундамента. Только в разрезах глубоких разведочных скважин вскрыты нижнемеловые и частично юрские отложения на максимальной глубине 4024 м (скв. 30).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Охарактеризованность керновым материалом крайне неравномерная, и сравнительно хорошо изучена только сеноманская продуктивная толща.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 xml:space="preserve">Согласно тектонической карте мезозойско-кайнозойского платформенного чехла Западно-Сибирской геосинеклизы месторождение </w:t>
      </w:r>
      <w:r w:rsidR="00942C90" w:rsidRPr="00027666">
        <w:rPr>
          <w:sz w:val="28"/>
          <w:szCs w:val="28"/>
        </w:rPr>
        <w:t>Уренгойское</w:t>
      </w:r>
      <w:r w:rsidRPr="00027666">
        <w:rPr>
          <w:sz w:val="28"/>
          <w:szCs w:val="28"/>
        </w:rPr>
        <w:t xml:space="preserve"> находится в пределах структуры первого порядка - </w:t>
      </w:r>
      <w:r w:rsidR="00942C90" w:rsidRPr="00027666">
        <w:rPr>
          <w:sz w:val="28"/>
          <w:szCs w:val="28"/>
        </w:rPr>
        <w:t>Уренгойского</w:t>
      </w:r>
      <w:r w:rsidRPr="00027666">
        <w:rPr>
          <w:sz w:val="28"/>
          <w:szCs w:val="28"/>
        </w:rPr>
        <w:t xml:space="preserve"> мегавала. Мегавал имеет меридиональное простирание, его длина 180 км, ширина 25-50 км.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В пределах Западно-Сибирской нефтегазоносной провинции выделяются три нефтегазоносных комплекса: юрский, неокомаптский и аптсеноманский. Основные запасы газа приурочены к сеноманским отложениям, которые являются объектом разработки.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Кровля сеноманской продуктивной толщи вскрыта на абсолютных глубинах 979,9-1130,4 м и контролируется отложениями глин (покрышкой) туронпалеогенового возраста с толщинами до 500 м. Продуктивная толща сеномана представлена песчаниками, алевролитами и глинами, которые выклиниваются, фациально замещаются на различных расстояниях. Толщина пропластков и пластов-коллекторов составляет 0,4-28 м. Наибольшее распространение имеют коллекторы от 2 до 4 м. Толщины глин и заглинизированных пород изменяются от 0,4 до 25 м.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 xml:space="preserve">Таким образом, продуктивная толща </w:t>
      </w:r>
      <w:r w:rsidR="004B1C8A" w:rsidRPr="00027666">
        <w:rPr>
          <w:sz w:val="28"/>
          <w:szCs w:val="28"/>
        </w:rPr>
        <w:t>Уренгойского</w:t>
      </w:r>
      <w:r w:rsidRPr="00027666">
        <w:rPr>
          <w:sz w:val="28"/>
          <w:szCs w:val="28"/>
        </w:rPr>
        <w:t xml:space="preserve"> месторождения расчленяется на ряд мезоциклитов, циклитов, продуктивных пачек. Сверху вниз это песчано-алевритовая, песчаная и песчано-алевролитовая пачки. В своих верхних частях пачки имеют алеврито-глинистые пласты, неоднородные и прерывистые по площади и разрезу. Поэтому макро- и микронеоднородность, расчлененность и прерывистость геологических тел, слагающих пачки, определяют в целом газодинамическую, но не гидродинамическую связанность коллекторов в залежи. Блочная или пачечная модель-схема геологического строения отвечает пластово-массивному типу залежей.</w:t>
      </w:r>
    </w:p>
    <w:p w:rsidR="004B1C8A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Содержание коллекторов в газонасыщенной части разреза колеблется от 17 до 90 %, составляя в среднем для залежи 70 %. В результате эксплуатационного бурения было установлено значительное сокращение содержания</w:t>
      </w:r>
      <w:r w:rsidR="004B1C8A" w:rsidRPr="00027666">
        <w:rPr>
          <w:sz w:val="28"/>
          <w:szCs w:val="28"/>
        </w:rPr>
        <w:t xml:space="preserve"> </w:t>
      </w:r>
      <w:r w:rsidRPr="00027666">
        <w:rPr>
          <w:sz w:val="28"/>
          <w:szCs w:val="28"/>
        </w:rPr>
        <w:t>коллекторов в зонах микропрогибов и структурных заливов на крыльях. В этих зонах эффективные газонасыщенные толщины составили 30-50 м вместо ожидаемых 60-70 м. Суммарная эффективная газонасыщенная толщина по скважинам изменяется от 3,6 до 126,0 м в пределах южного купола, от 14,0 до 96,4 м на центральном куполе, от 14,6 до 99,4 м на северном куполе</w:t>
      </w:r>
      <w:r w:rsidR="004B1C8A" w:rsidRPr="00027666">
        <w:rPr>
          <w:sz w:val="28"/>
          <w:szCs w:val="28"/>
        </w:rPr>
        <w:t xml:space="preserve">. 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Залежь газа является пластово-массивной, по всей площади подстилается подошвенной водой. ГВК отбит на абсолютных отметках от 1227,6 до 1141,2 м и постепенно погружается с юга на север.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При испытании разведочных скважин из продуктивной толщи сеномана получены промышленные притоки газа от 541 до 1490 тыс. м</w:t>
      </w:r>
      <w:r w:rsidRPr="00027666">
        <w:rPr>
          <w:sz w:val="28"/>
          <w:szCs w:val="28"/>
          <w:vertAlign w:val="superscript"/>
        </w:rPr>
        <w:t>3</w:t>
      </w:r>
      <w:r w:rsidRPr="00027666">
        <w:rPr>
          <w:sz w:val="28"/>
          <w:szCs w:val="28"/>
        </w:rPr>
        <w:t>/сут через 25,4-31,7-мм штуцер при депрессиях 0,19-3,68 МПа (1,95-37,5 кгс/см</w:t>
      </w:r>
      <w:r w:rsidRPr="00027666">
        <w:rPr>
          <w:sz w:val="28"/>
          <w:szCs w:val="28"/>
          <w:vertAlign w:val="superscript"/>
        </w:rPr>
        <w:t>2</w:t>
      </w:r>
      <w:r w:rsidRPr="00027666">
        <w:rPr>
          <w:sz w:val="28"/>
          <w:szCs w:val="28"/>
        </w:rPr>
        <w:t>).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Начальный дебит эксплуатационных скважин 519-1500 тыс. м</w:t>
      </w:r>
      <w:r w:rsidRPr="00027666">
        <w:rPr>
          <w:sz w:val="28"/>
          <w:szCs w:val="28"/>
          <w:vertAlign w:val="superscript"/>
        </w:rPr>
        <w:t>3</w:t>
      </w:r>
      <w:r w:rsidRPr="00027666">
        <w:rPr>
          <w:sz w:val="28"/>
          <w:szCs w:val="28"/>
        </w:rPr>
        <w:t>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Коллекторами газа являются пески, песчаники с глинистым цементом, а также крупно- и среднезернистые алевролиты. Коллекторские свойства песчано-алевритовых пород высокие. Определение пористости проведено на 1091 образце, из них на 534 - из газонасыщенной части разреза.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Наиболее часто встречаются значения пористости 25-35 %. Среднее значение пористости по керну составило 28,8 %. Проницаемость определена на 569 образцах, в том числе на 273 - из газонасыщенной части. Изменяется проницаемость от 10~15 до порядка 10~12 м</w:t>
      </w:r>
      <w:r w:rsidRPr="00027666">
        <w:rPr>
          <w:sz w:val="28"/>
          <w:szCs w:val="28"/>
          <w:vertAlign w:val="superscript"/>
        </w:rPr>
        <w:t>2</w:t>
      </w:r>
      <w:r w:rsidRPr="00027666">
        <w:rPr>
          <w:sz w:val="28"/>
          <w:szCs w:val="28"/>
        </w:rPr>
        <w:t>. Остаточная водонасыщенность определена на 535 образцах.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Коллекторские свойства зависят от гранулометрической характеристики. Так, открытая пористость песчаников изменяется от 33,9 до 38,4 %, проницаемость составляет (0,8 3,1)-10 12 м</w:t>
      </w:r>
      <w:r w:rsidRPr="00840D6E">
        <w:rPr>
          <w:sz w:val="28"/>
          <w:szCs w:val="28"/>
          <w:vertAlign w:val="superscript"/>
        </w:rPr>
        <w:t>2</w:t>
      </w:r>
      <w:r w:rsidRPr="00027666">
        <w:rPr>
          <w:sz w:val="28"/>
          <w:szCs w:val="28"/>
        </w:rPr>
        <w:t>, остаточная водонасыщенность - 8,1-23,5 %.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Открытая пористость алевритов составляет 20,1-36,3 %; проницаемость (0,6-118)10 12 м</w:t>
      </w:r>
      <w:r w:rsidRPr="00840D6E">
        <w:rPr>
          <w:sz w:val="28"/>
          <w:szCs w:val="28"/>
          <w:vertAlign w:val="superscript"/>
        </w:rPr>
        <w:t>2</w:t>
      </w:r>
      <w:r w:rsidRPr="00027666">
        <w:rPr>
          <w:sz w:val="28"/>
          <w:szCs w:val="28"/>
        </w:rPr>
        <w:t>; остаточная водонасыщенность 19,9-92,5 %.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В неотсортированных породах открытая пористость равна 22,1-37,6 %, проницаемость (0,0046-2,305)-10~12 м</w:t>
      </w:r>
      <w:r w:rsidRPr="00840D6E">
        <w:rPr>
          <w:sz w:val="28"/>
          <w:szCs w:val="28"/>
          <w:vertAlign w:val="superscript"/>
        </w:rPr>
        <w:t>2</w:t>
      </w:r>
      <w:r w:rsidRPr="00027666">
        <w:rPr>
          <w:sz w:val="28"/>
          <w:szCs w:val="28"/>
        </w:rPr>
        <w:t>, остаточная водонасыщенность 14,4-87,4 %.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Фильтрационно-емкостные параметры определены по материалам геофизических исследований скважин.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По ГНС коэффициент пористости, определенный по уравнению регрессии вида ku = f(p0), составил 30,2 %.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Средневзвешенное значение коэффициента газонасыщенности составило 70,5 %.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Продуктивная толща имеет неоднородное строение как по площади, так и по разрезу.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Для характеристики неоднородности использованы следующие показатели: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1) коэффициент относительной песчанистости;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2) коэффициент расчлененности;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3) общая и эффективная толщина;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4) коэффициент проницаемости.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Коэффициент относительной песчанистости (К</w:t>
      </w:r>
      <w:r w:rsidR="00D20FA1" w:rsidRPr="00027666">
        <w:rPr>
          <w:sz w:val="28"/>
          <w:szCs w:val="28"/>
        </w:rPr>
        <w:t>п</w:t>
      </w:r>
      <w:r w:rsidRPr="00027666">
        <w:rPr>
          <w:sz w:val="28"/>
          <w:szCs w:val="28"/>
        </w:rPr>
        <w:t xml:space="preserve">ес) представляет собой отношение эффективной толщины, выделенной в разрезе данной скважины, к ее общей толщине. Значение </w:t>
      </w:r>
      <w:r w:rsidR="00D20FA1" w:rsidRPr="00027666">
        <w:rPr>
          <w:sz w:val="28"/>
          <w:szCs w:val="28"/>
        </w:rPr>
        <w:t xml:space="preserve">Кпес </w:t>
      </w:r>
      <w:r w:rsidRPr="00027666">
        <w:rPr>
          <w:sz w:val="28"/>
          <w:szCs w:val="28"/>
        </w:rPr>
        <w:t xml:space="preserve">по площади изменяется от 0,3 до 0,9. Высокие значения параметра приурочены к сводовым участкам залежи. В песчано-алевритовых породах при значении </w:t>
      </w:r>
      <w:r w:rsidR="00D20FA1" w:rsidRPr="00027666">
        <w:rPr>
          <w:sz w:val="28"/>
          <w:szCs w:val="28"/>
        </w:rPr>
        <w:t>Кпес</w:t>
      </w:r>
      <w:r w:rsidRPr="00027666">
        <w:rPr>
          <w:sz w:val="28"/>
          <w:szCs w:val="28"/>
        </w:rPr>
        <w:t xml:space="preserve"> более 0,5 высока вероятность наличия газодинамической связи между пластами.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>Коэффициент расчлененности (Кр) определяются путем деления суммы числа проницаемых прослоев на эффективную толщину. Кр изменяется от 0,8 до 8,9. По данному параметру наиболее неоднородна зона размещения скважин УКПГ-2, 7 и 9.</w:t>
      </w:r>
    </w:p>
    <w:p w:rsidR="00684F83" w:rsidRPr="00027666" w:rsidRDefault="00684F83" w:rsidP="00027666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27666">
        <w:rPr>
          <w:sz w:val="28"/>
          <w:szCs w:val="28"/>
        </w:rPr>
        <w:t xml:space="preserve">В целом же сеноманская продуктивная толща </w:t>
      </w:r>
      <w:r w:rsidR="00D20FA1" w:rsidRPr="00027666">
        <w:rPr>
          <w:sz w:val="28"/>
          <w:szCs w:val="28"/>
        </w:rPr>
        <w:t>Уренгойского</w:t>
      </w:r>
      <w:r w:rsidRPr="00027666">
        <w:rPr>
          <w:sz w:val="28"/>
          <w:szCs w:val="28"/>
        </w:rPr>
        <w:t xml:space="preserve"> месторождения представляет собой единую газогидродинамическую систему, которая характеризуется неповсеместным распространением проницаемых пластов по площади и частым расчленением их на ряд пропластков.</w:t>
      </w:r>
    </w:p>
    <w:p w:rsidR="00AC1070" w:rsidRPr="00D20FA1" w:rsidRDefault="002F0CB4" w:rsidP="00D20FA1">
      <w:pPr>
        <w:pStyle w:val="1"/>
        <w:ind w:firstLine="720"/>
        <w:rPr>
          <w:sz w:val="28"/>
        </w:rPr>
      </w:pPr>
      <w:bookmarkStart w:id="3" w:name="_Toc250934267"/>
      <w:r w:rsidRPr="00D20FA1">
        <w:rPr>
          <w:sz w:val="28"/>
        </w:rPr>
        <w:t>4. Состояние нефти и газа в пластовых условиях</w:t>
      </w:r>
      <w:bookmarkEnd w:id="3"/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В процессе разработки большинства залежей нефти и газа свойства до</w:t>
      </w:r>
      <w:r w:rsidRPr="00C43EA3">
        <w:rPr>
          <w:color w:val="000000"/>
          <w:sz w:val="28"/>
          <w:szCs w:val="28"/>
        </w:rPr>
        <w:softHyphen/>
        <w:t>бываемой продукции в той или иной степени изменяются по мере извлечения запасов. Это происходит как вследствие продвижения к забоям скважин но</w:t>
      </w:r>
      <w:r w:rsidRPr="00C43EA3">
        <w:rPr>
          <w:color w:val="000000"/>
          <w:sz w:val="28"/>
          <w:szCs w:val="28"/>
        </w:rPr>
        <w:softHyphen/>
        <w:t>вых порций нефти и газа из участков, удаленных от скважин и характери</w:t>
      </w:r>
      <w:r w:rsidRPr="00C43EA3">
        <w:rPr>
          <w:color w:val="000000"/>
          <w:sz w:val="28"/>
          <w:szCs w:val="28"/>
        </w:rPr>
        <w:softHyphen/>
        <w:t>зующихся иными свойствами этих флюидов, чем в непосредственной бли</w:t>
      </w:r>
      <w:r w:rsidRPr="00C43EA3">
        <w:rPr>
          <w:color w:val="000000"/>
          <w:sz w:val="28"/>
          <w:szCs w:val="28"/>
        </w:rPr>
        <w:softHyphen/>
        <w:t>зости к добывающим скважинам, так и в результате физико-химических из</w:t>
      </w:r>
      <w:r w:rsidRPr="00C43EA3">
        <w:rPr>
          <w:color w:val="000000"/>
          <w:sz w:val="28"/>
          <w:szCs w:val="28"/>
        </w:rPr>
        <w:softHyphen/>
        <w:t>менений нефтей и газов, происходящих под влиянием внедряющейся в за</w:t>
      </w:r>
      <w:r w:rsidRPr="00C43EA3">
        <w:rPr>
          <w:color w:val="000000"/>
          <w:sz w:val="28"/>
          <w:szCs w:val="28"/>
        </w:rPr>
        <w:softHyphen/>
        <w:t>лежи воды и изменения пластовых давления и температуры. Поэтому для обоснованных прогнозов изменений свойств нефти и газа в процессе разра</w:t>
      </w:r>
      <w:r w:rsidRPr="00C43EA3">
        <w:rPr>
          <w:color w:val="000000"/>
          <w:sz w:val="28"/>
          <w:szCs w:val="28"/>
        </w:rPr>
        <w:softHyphen/>
        <w:t>ботки необходимо иметь четкие представления: а) о закономерностях изме</w:t>
      </w:r>
      <w:r w:rsidRPr="00C43EA3">
        <w:rPr>
          <w:color w:val="000000"/>
          <w:sz w:val="28"/>
          <w:szCs w:val="28"/>
        </w:rPr>
        <w:softHyphen/>
        <w:t>нения свойств нефти и газа по объему залежи до начала разработки; б) о процессах физико-химического взаимодействия нефтей и газов с водами, поступающими в продуктивный пласт (особенно с закачиваемыми водами иного состава, чем пластовая вода); в) о направлениях перемещения флюи</w:t>
      </w:r>
      <w:r w:rsidRPr="00C43EA3">
        <w:rPr>
          <w:color w:val="000000"/>
          <w:sz w:val="28"/>
          <w:szCs w:val="28"/>
        </w:rPr>
        <w:softHyphen/>
        <w:t>дов в продуктивном пласте в результате эксплуатации скважин; г) об изме</w:t>
      </w:r>
      <w:r w:rsidRPr="00C43EA3">
        <w:rPr>
          <w:color w:val="000000"/>
          <w:sz w:val="28"/>
          <w:szCs w:val="28"/>
        </w:rPr>
        <w:softHyphen/>
        <w:t>нениях пластовых давления и температуры в течение периода разработки залежи.</w:t>
      </w:r>
      <w:r w:rsidRPr="00C43EA3">
        <w:rPr>
          <w:rStyle w:val="a7"/>
          <w:color w:val="000000"/>
          <w:sz w:val="28"/>
          <w:szCs w:val="28"/>
        </w:rPr>
        <w:footnoteReference w:id="1"/>
      </w:r>
    </w:p>
    <w:p w:rsidR="008605E5" w:rsidRPr="00C43EA3" w:rsidRDefault="008605E5" w:rsidP="008605E5">
      <w:pPr>
        <w:pStyle w:val="21"/>
        <w:ind w:firstLine="709"/>
        <w:rPr>
          <w:i w:val="0"/>
          <w:iCs w:val="0"/>
          <w:sz w:val="28"/>
          <w:szCs w:val="28"/>
        </w:rPr>
      </w:pPr>
      <w:r w:rsidRPr="00C43EA3">
        <w:rPr>
          <w:sz w:val="28"/>
          <w:szCs w:val="28"/>
        </w:rPr>
        <w:t xml:space="preserve">Закономерности   изменения  свойств  нефти  и  газа по объему залежи. </w:t>
      </w:r>
      <w:r w:rsidRPr="00C43EA3">
        <w:rPr>
          <w:i w:val="0"/>
          <w:iCs w:val="0"/>
          <w:sz w:val="28"/>
          <w:szCs w:val="28"/>
        </w:rPr>
        <w:t>Полное единообразие свойств нефти и растворенного в ней газа в преде</w:t>
      </w:r>
      <w:r w:rsidRPr="00C43EA3">
        <w:rPr>
          <w:i w:val="0"/>
          <w:iCs w:val="0"/>
          <w:sz w:val="28"/>
          <w:szCs w:val="28"/>
        </w:rPr>
        <w:softHyphen/>
        <w:t>лах одной залежи — довольно редкое явление. Для нефтяных залежей обычно изменения свойств достаточно закономерны и проявляются прежде всего в увеличении плотности, в том числе оптической плотности, вязкости, содержания асфальто-смолистых веществ, парафина и серы по мере возра</w:t>
      </w:r>
      <w:r w:rsidRPr="00C43EA3">
        <w:rPr>
          <w:i w:val="0"/>
          <w:iCs w:val="0"/>
          <w:sz w:val="28"/>
          <w:szCs w:val="28"/>
        </w:rPr>
        <w:softHyphen/>
        <w:t>стания глубины залегания пласта, т. е. от свода к крыльям и от кровли к подошве в мощных пластах. Фактическое изменение плотности в пределах большинства залежей обычно не превышает 0,05-0,07 г/см</w:t>
      </w:r>
      <w:r w:rsidRPr="00C43EA3">
        <w:rPr>
          <w:i w:val="0"/>
          <w:iCs w:val="0"/>
          <w:sz w:val="28"/>
          <w:szCs w:val="28"/>
          <w:vertAlign w:val="superscript"/>
        </w:rPr>
        <w:t>3</w:t>
      </w:r>
      <w:r w:rsidRPr="00C43EA3">
        <w:rPr>
          <w:i w:val="0"/>
          <w:iCs w:val="0"/>
          <w:sz w:val="28"/>
          <w:szCs w:val="28"/>
        </w:rPr>
        <w:t>. Однако очень часто градиент нарастания плотности и ее абсолютные значения резко воз</w:t>
      </w:r>
      <w:r w:rsidRPr="00C43EA3">
        <w:rPr>
          <w:i w:val="0"/>
          <w:iCs w:val="0"/>
          <w:sz w:val="28"/>
          <w:szCs w:val="28"/>
        </w:rPr>
        <w:softHyphen/>
        <w:t>растают</w:t>
      </w:r>
      <w:r w:rsidRPr="00C43EA3">
        <w:rPr>
          <w:sz w:val="28"/>
          <w:szCs w:val="28"/>
        </w:rPr>
        <w:t xml:space="preserve"> </w:t>
      </w:r>
      <w:r w:rsidRPr="00C43EA3">
        <w:rPr>
          <w:i w:val="0"/>
          <w:iCs w:val="0"/>
          <w:sz w:val="28"/>
          <w:szCs w:val="28"/>
        </w:rPr>
        <w:t>в непосредственной близости к водонефтяному контакту (ВНК, рис. 1,1, 2), где могут встречаться полутвердые асфальты и твердые битумы. Иногда эти малоподвижные нефтяные вещества образуют монолитный слой в подошве залежи, который полностью или частично запечатывает залежь, изолируя ее от законтурной водоносной зоны. Нередко плотность нефти выше изолирующего слоя практически постоянна (рис. 1,3). В залежах «от</w:t>
      </w:r>
      <w:r w:rsidRPr="00C43EA3">
        <w:rPr>
          <w:i w:val="0"/>
          <w:iCs w:val="0"/>
          <w:sz w:val="28"/>
          <w:szCs w:val="28"/>
        </w:rPr>
        <w:softHyphen/>
        <w:t>крытого» типа, приуроченных к пластам, выходящим на дневную поверхность, и запечатанных с головы</w:t>
      </w:r>
      <w:r w:rsidRPr="00C43EA3">
        <w:rPr>
          <w:sz w:val="28"/>
          <w:szCs w:val="28"/>
        </w:rPr>
        <w:t xml:space="preserve"> </w:t>
      </w:r>
      <w:r w:rsidRPr="00C43EA3">
        <w:rPr>
          <w:i w:val="0"/>
          <w:iCs w:val="0"/>
          <w:sz w:val="28"/>
          <w:szCs w:val="28"/>
        </w:rPr>
        <w:t>асфальто-кировыми породами, плотность нефти с увеличением глубины уменьшается, достигает минимума, а затем увеличи</w:t>
      </w:r>
      <w:r w:rsidRPr="00C43EA3">
        <w:rPr>
          <w:i w:val="0"/>
          <w:iCs w:val="0"/>
          <w:sz w:val="28"/>
          <w:szCs w:val="28"/>
        </w:rPr>
        <w:softHyphen/>
        <w:t>вается по мере приближения к ВНК (рис. 1,4).</w:t>
      </w:r>
    </w:p>
    <w:p w:rsidR="008605E5" w:rsidRPr="00C43EA3" w:rsidRDefault="008605E5" w:rsidP="008605E5">
      <w:pPr>
        <w:pStyle w:val="21"/>
        <w:ind w:firstLine="709"/>
        <w:rPr>
          <w:i w:val="0"/>
          <w:iCs w:val="0"/>
          <w:sz w:val="28"/>
          <w:szCs w:val="28"/>
        </w:rPr>
      </w:pPr>
    </w:p>
    <w:p w:rsidR="008605E5" w:rsidRPr="00C43EA3" w:rsidRDefault="008605E5" w:rsidP="008605E5">
      <w:pPr>
        <w:pStyle w:val="21"/>
        <w:ind w:firstLine="709"/>
        <w:rPr>
          <w:i w:val="0"/>
          <w:iCs w:val="0"/>
          <w:sz w:val="28"/>
          <w:szCs w:val="28"/>
        </w:rPr>
      </w:pPr>
    </w:p>
    <w:p w:rsidR="008605E5" w:rsidRPr="00C43EA3" w:rsidRDefault="00222FEE" w:rsidP="00840D6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25pt;height:54pt">
            <v:imagedata r:id="rId7" o:title=""/>
          </v:shape>
        </w:pict>
      </w:r>
    </w:p>
    <w:p w:rsidR="008605E5" w:rsidRPr="00840D6E" w:rsidRDefault="008605E5" w:rsidP="00840D6E">
      <w:pPr>
        <w:shd w:val="clear" w:color="auto" w:fill="FFFFFF"/>
        <w:spacing w:line="360" w:lineRule="auto"/>
        <w:ind w:firstLine="709"/>
        <w:jc w:val="center"/>
      </w:pPr>
      <w:r w:rsidRPr="00840D6E">
        <w:rPr>
          <w:b/>
          <w:bCs/>
          <w:color w:val="000000"/>
        </w:rPr>
        <w:t>Рис. 1. Принципиальная схема изменения плотности нефти по объему залежей (по  А. А. Карцеву)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05E5" w:rsidRPr="00C43EA3" w:rsidRDefault="008605E5" w:rsidP="008605E5">
      <w:pPr>
        <w:pStyle w:val="31"/>
        <w:ind w:firstLine="709"/>
        <w:rPr>
          <w:sz w:val="28"/>
          <w:szCs w:val="28"/>
        </w:rPr>
      </w:pPr>
      <w:r w:rsidRPr="00C43EA3">
        <w:rPr>
          <w:sz w:val="28"/>
          <w:szCs w:val="28"/>
        </w:rPr>
        <w:t>Описанные закономерности наиболее характерны для высоких залежей месторождений складчатых об</w:t>
      </w:r>
      <w:r w:rsidRPr="00C43EA3">
        <w:rPr>
          <w:sz w:val="28"/>
          <w:szCs w:val="28"/>
        </w:rPr>
        <w:softHyphen/>
        <w:t>ластей. Основной причиной их образования является гравитационная диффе</w:t>
      </w:r>
      <w:r w:rsidRPr="00C43EA3">
        <w:rPr>
          <w:sz w:val="28"/>
          <w:szCs w:val="28"/>
        </w:rPr>
        <w:softHyphen/>
        <w:t>ренциация (расслоение) нефтей по плотности внутри залежи, подобно рас</w:t>
      </w:r>
      <w:r w:rsidRPr="00C43EA3">
        <w:rPr>
          <w:sz w:val="28"/>
          <w:szCs w:val="28"/>
        </w:rPr>
        <w:softHyphen/>
        <w:t>слоению газа, нефти и воды в пределах пласта. Существенное изменение свойств нефтей в зоне ВНК и в верхних частях нефтяных залежей откры</w:t>
      </w:r>
      <w:r w:rsidRPr="00C43EA3">
        <w:rPr>
          <w:sz w:val="28"/>
          <w:szCs w:val="28"/>
        </w:rPr>
        <w:softHyphen/>
        <w:t>того типа связано с окислительными процессами.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Для залежей платформенных областей с невысоким этажом нефтеносно</w:t>
      </w:r>
      <w:r w:rsidRPr="00C43EA3">
        <w:rPr>
          <w:color w:val="000000"/>
          <w:sz w:val="28"/>
          <w:szCs w:val="28"/>
        </w:rPr>
        <w:softHyphen/>
        <w:t>сти и обширной зоной ВНК гравитационное расслоение проявляется гораздо слабее и основное влияние па изменение свойств нефтей оказывают окисли</w:t>
      </w:r>
      <w:r w:rsidRPr="00C43EA3">
        <w:rPr>
          <w:color w:val="000000"/>
          <w:sz w:val="28"/>
          <w:szCs w:val="28"/>
        </w:rPr>
        <w:softHyphen/>
        <w:t>тельные процессы в зоне, подстилаемой подошвенной водой. Степень их влия</w:t>
      </w:r>
      <w:r w:rsidRPr="00C43EA3">
        <w:rPr>
          <w:color w:val="000000"/>
          <w:sz w:val="28"/>
          <w:szCs w:val="28"/>
        </w:rPr>
        <w:softHyphen/>
        <w:t>ния убывает по направлению от внешнего контура нефтеносности к внутрен</w:t>
      </w:r>
      <w:r w:rsidRPr="00C43EA3">
        <w:rPr>
          <w:color w:val="000000"/>
          <w:sz w:val="28"/>
          <w:szCs w:val="28"/>
        </w:rPr>
        <w:softHyphen/>
        <w:t>нему. Также более интенсивно они проявляются в лобовых частях залежей, омываемых свежими порциями пластовых вод. Нефть в тыловых участках обычно менее подвержена воздействию окислительных процессов. Поэтому для платформенных залежей обычно плотность нефти, ее вязкость, содержа</w:t>
      </w:r>
      <w:r w:rsidRPr="00C43EA3">
        <w:rPr>
          <w:color w:val="000000"/>
          <w:sz w:val="28"/>
          <w:szCs w:val="28"/>
        </w:rPr>
        <w:softHyphen/>
        <w:t xml:space="preserve">ние </w:t>
      </w:r>
      <w:r>
        <w:rPr>
          <w:color w:val="000000"/>
          <w:sz w:val="28"/>
          <w:szCs w:val="28"/>
        </w:rPr>
        <w:t xml:space="preserve"> </w:t>
      </w:r>
      <w:r w:rsidRPr="00C43EA3">
        <w:rPr>
          <w:color w:val="000000"/>
          <w:sz w:val="28"/>
          <w:szCs w:val="28"/>
        </w:rPr>
        <w:t>асфальто-смолистых веществ и др. концентрично увеличиваются по пло</w:t>
      </w:r>
      <w:r w:rsidRPr="00C43EA3">
        <w:rPr>
          <w:color w:val="000000"/>
          <w:sz w:val="28"/>
          <w:szCs w:val="28"/>
        </w:rPr>
        <w:softHyphen/>
        <w:t>щади от центральных участков к периферийным, достигая максимальных зна</w:t>
      </w:r>
      <w:r w:rsidRPr="00C43EA3">
        <w:rPr>
          <w:color w:val="000000"/>
          <w:sz w:val="28"/>
          <w:szCs w:val="28"/>
        </w:rPr>
        <w:softHyphen/>
        <w:t>чений в «лобовых» (по отношению к направлению давления пластовых вод) частях залежей.</w:t>
      </w:r>
      <w:r w:rsidRPr="00C43EA3">
        <w:rPr>
          <w:rStyle w:val="a7"/>
          <w:color w:val="000000"/>
          <w:sz w:val="28"/>
          <w:szCs w:val="28"/>
        </w:rPr>
        <w:footnoteReference w:id="2"/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Некоторые платформенные залежи нефти характеризуются однонаправ</w:t>
      </w:r>
      <w:r w:rsidRPr="00C43EA3">
        <w:rPr>
          <w:color w:val="000000"/>
          <w:sz w:val="28"/>
          <w:szCs w:val="28"/>
        </w:rPr>
        <w:softHyphen/>
        <w:t>ленным линейным изменением свойств нефти по площади, которое не свя</w:t>
      </w:r>
      <w:r w:rsidRPr="00C43EA3">
        <w:rPr>
          <w:color w:val="000000"/>
          <w:sz w:val="28"/>
          <w:szCs w:val="28"/>
        </w:rPr>
        <w:softHyphen/>
        <w:t>зано явным образом с положением внутреннего контура и водонефтяной зоны.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Одновременно с увеличением плотности нефти, к</w:t>
      </w:r>
      <w:r>
        <w:rPr>
          <w:color w:val="000000"/>
          <w:sz w:val="28"/>
          <w:szCs w:val="28"/>
        </w:rPr>
        <w:t xml:space="preserve">ак правило, растут ее вязкость </w:t>
      </w:r>
      <w:r w:rsidRPr="00C43EA3">
        <w:rPr>
          <w:color w:val="000000"/>
          <w:sz w:val="28"/>
          <w:szCs w:val="28"/>
        </w:rPr>
        <w:t>содержание асфальто-смолистых веществ и парафина, а также уменьшаются газосодержание и давление насыщения растворенных газов.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Для газовых залежей во многих случаях наблюдается относительная стабильность состава газов по объему залежей, особенно залежей сухого газа, где преобладающий компонент — метан. Тем не менее, несмотря на вы</w:t>
      </w:r>
      <w:r w:rsidRPr="00C43EA3">
        <w:rPr>
          <w:color w:val="000000"/>
          <w:sz w:val="28"/>
          <w:szCs w:val="28"/>
        </w:rPr>
        <w:softHyphen/>
        <w:t>сокую диффузионную активность газов, изменчивость их состава в пределах единой залежи — далеко не редкое явление. Наиболее резко она проявля</w:t>
      </w:r>
      <w:r w:rsidRPr="00C43EA3">
        <w:rPr>
          <w:color w:val="000000"/>
          <w:sz w:val="28"/>
          <w:szCs w:val="28"/>
        </w:rPr>
        <w:softHyphen/>
        <w:t>ется в содержании кислых компонентов — углекислоты СО</w:t>
      </w:r>
      <w:r w:rsidRPr="00C43EA3">
        <w:rPr>
          <w:color w:val="000000"/>
          <w:sz w:val="28"/>
          <w:szCs w:val="28"/>
          <w:vertAlign w:val="subscript"/>
        </w:rPr>
        <w:t>2</w:t>
      </w:r>
      <w:r w:rsidRPr="00C43EA3">
        <w:rPr>
          <w:color w:val="000000"/>
          <w:sz w:val="28"/>
          <w:szCs w:val="28"/>
        </w:rPr>
        <w:t xml:space="preserve"> и особенно сероводорода Н</w:t>
      </w:r>
      <w:r w:rsidRPr="00C43EA3">
        <w:rPr>
          <w:color w:val="000000"/>
          <w:sz w:val="28"/>
          <w:szCs w:val="28"/>
          <w:vertAlign w:val="subscript"/>
        </w:rPr>
        <w:t>2</w:t>
      </w:r>
      <w:r w:rsidRPr="00C43EA3">
        <w:rPr>
          <w:color w:val="000000"/>
          <w:sz w:val="28"/>
          <w:szCs w:val="28"/>
          <w:lang w:val="en-US"/>
        </w:rPr>
        <w:t>S</w:t>
      </w:r>
      <w:r w:rsidRPr="00C43EA3">
        <w:rPr>
          <w:color w:val="000000"/>
          <w:sz w:val="28"/>
          <w:szCs w:val="28"/>
        </w:rPr>
        <w:t>. В распределении сероводорода обычно наблюдается зо</w:t>
      </w:r>
      <w:r w:rsidRPr="00C43EA3">
        <w:rPr>
          <w:color w:val="000000"/>
          <w:sz w:val="28"/>
          <w:szCs w:val="28"/>
        </w:rPr>
        <w:softHyphen/>
        <w:t>нальность, выражающаяся в закономерном изменении концентраций серово</w:t>
      </w:r>
      <w:r w:rsidRPr="00C43EA3">
        <w:rPr>
          <w:color w:val="000000"/>
          <w:sz w:val="28"/>
          <w:szCs w:val="28"/>
        </w:rPr>
        <w:softHyphen/>
        <w:t>дорода по площади. Явных закономерных изменении концентрации по вы</w:t>
      </w:r>
      <w:r w:rsidRPr="00C43EA3">
        <w:rPr>
          <w:color w:val="000000"/>
          <w:sz w:val="28"/>
          <w:szCs w:val="28"/>
        </w:rPr>
        <w:softHyphen/>
        <w:t>соте залежи обычно нет.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3EA3">
        <w:rPr>
          <w:color w:val="000000"/>
          <w:sz w:val="28"/>
          <w:szCs w:val="28"/>
        </w:rPr>
        <w:t>Газоконденсатные залежи без нефтяной оторочки с невысоким этажом газоносности и невысоким конденсатогазовым фактором, как правило, имеют довольно стабильный состав газа, состав и выход конденсата. Однако при высоте газоконденсатной залежи более 300 м начинают заметно проявляться процессы гравитационного расслоения, приводя к увеличению содержания конденсата вниз по падению пласта, особенно резко — для залежи с высоким этажом газоносности и нефтяной оторочкой. В этом случае содержание кон</w:t>
      </w:r>
      <w:r w:rsidRPr="00C43EA3">
        <w:rPr>
          <w:color w:val="000000"/>
          <w:sz w:val="28"/>
          <w:szCs w:val="28"/>
        </w:rPr>
        <w:softHyphen/>
        <w:t>денсата в пониженных участках залежи может быть в несколько раз выше, чем в своде залежи. Известны, в частности, примеры, когда конденсатогазовый фактор в скважинах присводной части залежи составлял 180 см</w:t>
      </w:r>
      <w:r w:rsidRPr="00C43EA3">
        <w:rPr>
          <w:color w:val="000000"/>
          <w:sz w:val="28"/>
          <w:szCs w:val="28"/>
          <w:vertAlign w:val="superscript"/>
        </w:rPr>
        <w:t>3</w:t>
      </w:r>
      <w:r w:rsidRPr="00C43EA3">
        <w:rPr>
          <w:color w:val="000000"/>
          <w:sz w:val="28"/>
          <w:szCs w:val="28"/>
        </w:rPr>
        <w:t>/м</w:t>
      </w:r>
      <w:r w:rsidRPr="00C43EA3">
        <w:rPr>
          <w:color w:val="000000"/>
          <w:sz w:val="28"/>
          <w:szCs w:val="28"/>
          <w:vertAlign w:val="superscript"/>
        </w:rPr>
        <w:t>3</w:t>
      </w:r>
      <w:r w:rsidRPr="00C43EA3">
        <w:rPr>
          <w:color w:val="000000"/>
          <w:sz w:val="28"/>
          <w:szCs w:val="28"/>
        </w:rPr>
        <w:t>, а вблизи газонефтяного контакта — 780 см</w:t>
      </w:r>
      <w:r w:rsidRPr="00C43EA3">
        <w:rPr>
          <w:color w:val="000000"/>
          <w:sz w:val="28"/>
          <w:szCs w:val="28"/>
          <w:vertAlign w:val="superscript"/>
        </w:rPr>
        <w:t>3</w:t>
      </w:r>
      <w:r w:rsidRPr="00C43EA3">
        <w:rPr>
          <w:color w:val="000000"/>
          <w:sz w:val="28"/>
          <w:szCs w:val="28"/>
        </w:rPr>
        <w:t>/м</w:t>
      </w:r>
      <w:r w:rsidRPr="00C43EA3">
        <w:rPr>
          <w:color w:val="000000"/>
          <w:sz w:val="28"/>
          <w:szCs w:val="28"/>
          <w:vertAlign w:val="superscript"/>
        </w:rPr>
        <w:t>3</w:t>
      </w:r>
      <w:r w:rsidRPr="00C43EA3">
        <w:rPr>
          <w:color w:val="000000"/>
          <w:sz w:val="28"/>
          <w:szCs w:val="28"/>
        </w:rPr>
        <w:t>, т. е. в пределах одной за</w:t>
      </w:r>
      <w:r w:rsidRPr="00C43EA3">
        <w:rPr>
          <w:color w:val="000000"/>
          <w:sz w:val="28"/>
          <w:szCs w:val="28"/>
        </w:rPr>
        <w:softHyphen/>
        <w:t>лежи содержание конденсата изменялось в 4 раза. Колебания в 1,5—2 раза обычны для многих месторождений с высокими этажами газоносности при выходе конденсата более 100 см</w:t>
      </w:r>
      <w:r w:rsidRPr="00C43EA3">
        <w:rPr>
          <w:color w:val="000000"/>
          <w:sz w:val="28"/>
          <w:szCs w:val="28"/>
          <w:vertAlign w:val="superscript"/>
        </w:rPr>
        <w:t>3</w:t>
      </w:r>
      <w:r w:rsidRPr="00C43EA3">
        <w:rPr>
          <w:color w:val="000000"/>
          <w:sz w:val="28"/>
          <w:szCs w:val="28"/>
        </w:rPr>
        <w:t>/м</w:t>
      </w:r>
      <w:r w:rsidRPr="00C43EA3">
        <w:rPr>
          <w:color w:val="000000"/>
          <w:sz w:val="28"/>
          <w:szCs w:val="28"/>
          <w:vertAlign w:val="superscript"/>
        </w:rPr>
        <w:t>3</w:t>
      </w:r>
      <w:r w:rsidRPr="00C43EA3">
        <w:rPr>
          <w:color w:val="000000"/>
          <w:sz w:val="28"/>
          <w:szCs w:val="28"/>
        </w:rPr>
        <w:t>.</w:t>
      </w:r>
    </w:p>
    <w:p w:rsidR="008605E5" w:rsidRPr="00C43EA3" w:rsidRDefault="008605E5" w:rsidP="008605E5">
      <w:pPr>
        <w:pStyle w:val="21"/>
        <w:ind w:firstLine="709"/>
        <w:rPr>
          <w:i w:val="0"/>
          <w:iCs w:val="0"/>
          <w:sz w:val="28"/>
          <w:szCs w:val="28"/>
        </w:rPr>
      </w:pPr>
      <w:r w:rsidRPr="00C43EA3">
        <w:rPr>
          <w:sz w:val="28"/>
          <w:szCs w:val="28"/>
        </w:rPr>
        <w:t xml:space="preserve">Физико-химическое  взаимодействие  нефтей  и  газов с поступающими в пласт водами. </w:t>
      </w:r>
      <w:r w:rsidRPr="00C43EA3">
        <w:rPr>
          <w:i w:val="0"/>
          <w:iCs w:val="0"/>
          <w:sz w:val="28"/>
          <w:szCs w:val="28"/>
        </w:rPr>
        <w:t>Продвижение воды в нефтяной пласт при разработке в условиях во</w:t>
      </w:r>
      <w:r w:rsidRPr="00C43EA3">
        <w:rPr>
          <w:i w:val="0"/>
          <w:iCs w:val="0"/>
          <w:sz w:val="28"/>
          <w:szCs w:val="28"/>
        </w:rPr>
        <w:softHyphen/>
        <w:t>донапорного режима приводит к изменению сложившегося равновесия между пластовыми водами и нефтями, приводя к процессам взаимного растворе</w:t>
      </w:r>
      <w:r w:rsidRPr="00C43EA3">
        <w:rPr>
          <w:i w:val="0"/>
          <w:iCs w:val="0"/>
          <w:sz w:val="28"/>
          <w:szCs w:val="28"/>
        </w:rPr>
        <w:softHyphen/>
        <w:t>ния, химическим н биохимическим реакциям. Особенно активна в этом от</w:t>
      </w:r>
      <w:r w:rsidRPr="00C43EA3">
        <w:rPr>
          <w:i w:val="0"/>
          <w:iCs w:val="0"/>
          <w:sz w:val="28"/>
          <w:szCs w:val="28"/>
        </w:rPr>
        <w:softHyphen/>
        <w:t>ношении вода, искусственно нагнетенная в пласты для поддержания пла</w:t>
      </w:r>
      <w:r w:rsidRPr="00C43EA3">
        <w:rPr>
          <w:i w:val="0"/>
          <w:iCs w:val="0"/>
          <w:sz w:val="28"/>
          <w:szCs w:val="28"/>
        </w:rPr>
        <w:softHyphen/>
        <w:t>стового давления, химический состав которой, как правило, резко отличен от состава пластовых вод. Основным процессом, приводящим к изменению свойств нефти; является биохимическое окисление углеводородов за счет сульфатов, растворенных в воде. Химически этот процесс выражается урав</w:t>
      </w:r>
      <w:r w:rsidRPr="00C43EA3">
        <w:rPr>
          <w:i w:val="0"/>
          <w:iCs w:val="0"/>
          <w:sz w:val="28"/>
          <w:szCs w:val="28"/>
        </w:rPr>
        <w:softHyphen/>
        <w:t>нением типа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  <w:lang w:val="en-US"/>
        </w:rPr>
        <w:t>CaSO</w:t>
      </w:r>
      <w:r w:rsidRPr="00C43EA3">
        <w:rPr>
          <w:color w:val="000000"/>
          <w:sz w:val="28"/>
          <w:szCs w:val="28"/>
          <w:vertAlign w:val="subscript"/>
        </w:rPr>
        <w:t>4</w:t>
      </w:r>
      <w:r w:rsidRPr="00C43EA3">
        <w:rPr>
          <w:color w:val="000000"/>
          <w:sz w:val="28"/>
          <w:szCs w:val="28"/>
        </w:rPr>
        <w:t xml:space="preserve"> + СН</w:t>
      </w:r>
      <w:r w:rsidRPr="00C43EA3">
        <w:rPr>
          <w:color w:val="000000"/>
          <w:sz w:val="28"/>
          <w:szCs w:val="28"/>
          <w:vertAlign w:val="subscript"/>
        </w:rPr>
        <w:t>4</w:t>
      </w:r>
      <w:r w:rsidRPr="00C43EA3">
        <w:rPr>
          <w:color w:val="000000"/>
          <w:sz w:val="28"/>
          <w:szCs w:val="28"/>
        </w:rPr>
        <w:t xml:space="preserve"> = СаСО</w:t>
      </w:r>
      <w:r w:rsidRPr="00C43EA3">
        <w:rPr>
          <w:color w:val="000000"/>
          <w:sz w:val="28"/>
          <w:szCs w:val="28"/>
          <w:vertAlign w:val="subscript"/>
        </w:rPr>
        <w:t>3</w:t>
      </w:r>
      <w:r w:rsidRPr="00C43EA3">
        <w:rPr>
          <w:color w:val="000000"/>
          <w:sz w:val="28"/>
          <w:szCs w:val="28"/>
        </w:rPr>
        <w:t xml:space="preserve"> + Н</w:t>
      </w:r>
      <w:r w:rsidRPr="00C43EA3">
        <w:rPr>
          <w:color w:val="000000"/>
          <w:sz w:val="28"/>
          <w:szCs w:val="28"/>
          <w:vertAlign w:val="subscript"/>
        </w:rPr>
        <w:t>2</w:t>
      </w:r>
      <w:r w:rsidRPr="00C43EA3">
        <w:rPr>
          <w:color w:val="000000"/>
          <w:sz w:val="28"/>
          <w:szCs w:val="28"/>
          <w:lang w:val="en-US"/>
        </w:rPr>
        <w:t>O</w:t>
      </w:r>
      <w:r w:rsidRPr="00C43EA3">
        <w:rPr>
          <w:color w:val="000000"/>
          <w:sz w:val="28"/>
          <w:szCs w:val="28"/>
        </w:rPr>
        <w:t xml:space="preserve"> + </w:t>
      </w:r>
      <w:r w:rsidRPr="00C43EA3">
        <w:rPr>
          <w:color w:val="000000"/>
          <w:sz w:val="28"/>
          <w:szCs w:val="28"/>
          <w:lang w:val="en-US"/>
        </w:rPr>
        <w:t>H</w:t>
      </w:r>
      <w:r w:rsidRPr="00C43EA3">
        <w:rPr>
          <w:color w:val="000000"/>
          <w:sz w:val="28"/>
          <w:szCs w:val="28"/>
          <w:vertAlign w:val="subscript"/>
        </w:rPr>
        <w:t>2</w:t>
      </w:r>
      <w:r w:rsidRPr="00C43EA3">
        <w:rPr>
          <w:color w:val="000000"/>
          <w:sz w:val="28"/>
          <w:szCs w:val="28"/>
          <w:lang w:val="en-US"/>
        </w:rPr>
        <w:t>S</w:t>
      </w:r>
      <w:r w:rsidRPr="00C43EA3">
        <w:rPr>
          <w:color w:val="000000"/>
          <w:sz w:val="28"/>
          <w:szCs w:val="28"/>
        </w:rPr>
        <w:t>;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7</w:t>
      </w:r>
      <w:r w:rsidRPr="00C43EA3">
        <w:rPr>
          <w:color w:val="000000"/>
          <w:sz w:val="28"/>
          <w:szCs w:val="28"/>
          <w:lang w:val="en-US"/>
        </w:rPr>
        <w:t>CaSO</w:t>
      </w:r>
      <w:r w:rsidRPr="00C43EA3">
        <w:rPr>
          <w:color w:val="000000"/>
          <w:sz w:val="28"/>
          <w:szCs w:val="28"/>
          <w:vertAlign w:val="subscript"/>
        </w:rPr>
        <w:t>4</w:t>
      </w:r>
      <w:r w:rsidRPr="00C43EA3">
        <w:rPr>
          <w:color w:val="000000"/>
          <w:sz w:val="28"/>
          <w:szCs w:val="28"/>
        </w:rPr>
        <w:t xml:space="preserve"> + С</w:t>
      </w:r>
      <w:r w:rsidRPr="00C43EA3">
        <w:rPr>
          <w:color w:val="000000"/>
          <w:sz w:val="28"/>
          <w:szCs w:val="28"/>
          <w:vertAlign w:val="subscript"/>
        </w:rPr>
        <w:t>9</w:t>
      </w:r>
      <w:r w:rsidRPr="00C43EA3">
        <w:rPr>
          <w:color w:val="000000"/>
          <w:sz w:val="28"/>
          <w:szCs w:val="28"/>
        </w:rPr>
        <w:t>Н</w:t>
      </w:r>
      <w:r w:rsidRPr="00C43EA3">
        <w:rPr>
          <w:color w:val="000000"/>
          <w:sz w:val="28"/>
          <w:szCs w:val="28"/>
          <w:vertAlign w:val="subscript"/>
        </w:rPr>
        <w:t>20</w:t>
      </w:r>
      <w:r w:rsidRPr="00C43EA3">
        <w:rPr>
          <w:color w:val="000000"/>
          <w:sz w:val="28"/>
          <w:szCs w:val="28"/>
        </w:rPr>
        <w:t xml:space="preserve"> = 7СаСО</w:t>
      </w:r>
      <w:r w:rsidRPr="00C43EA3">
        <w:rPr>
          <w:color w:val="000000"/>
          <w:sz w:val="28"/>
          <w:szCs w:val="28"/>
          <w:vertAlign w:val="subscript"/>
        </w:rPr>
        <w:t>3</w:t>
      </w:r>
      <w:r w:rsidRPr="00C43EA3">
        <w:rPr>
          <w:color w:val="000000"/>
          <w:sz w:val="28"/>
          <w:szCs w:val="28"/>
        </w:rPr>
        <w:t xml:space="preserve"> + 2СО</w:t>
      </w:r>
      <w:r w:rsidRPr="00C43EA3">
        <w:rPr>
          <w:color w:val="000000"/>
          <w:sz w:val="28"/>
          <w:szCs w:val="28"/>
          <w:vertAlign w:val="subscript"/>
        </w:rPr>
        <w:t>2</w:t>
      </w:r>
      <w:r w:rsidRPr="00C43EA3">
        <w:rPr>
          <w:color w:val="000000"/>
          <w:sz w:val="28"/>
          <w:szCs w:val="28"/>
        </w:rPr>
        <w:t xml:space="preserve"> + ЗН</w:t>
      </w:r>
      <w:r w:rsidRPr="00C43EA3">
        <w:rPr>
          <w:color w:val="000000"/>
          <w:sz w:val="28"/>
          <w:szCs w:val="28"/>
          <w:vertAlign w:val="subscript"/>
        </w:rPr>
        <w:t>2</w:t>
      </w:r>
      <w:r w:rsidRPr="00C43EA3">
        <w:rPr>
          <w:color w:val="000000"/>
          <w:sz w:val="28"/>
          <w:szCs w:val="28"/>
        </w:rPr>
        <w:t>О + 7</w:t>
      </w:r>
      <w:r w:rsidRPr="00C43EA3">
        <w:rPr>
          <w:color w:val="000000"/>
          <w:sz w:val="28"/>
          <w:szCs w:val="28"/>
          <w:lang w:val="en-US"/>
        </w:rPr>
        <w:t>H</w:t>
      </w:r>
      <w:r w:rsidRPr="00C43EA3">
        <w:rPr>
          <w:color w:val="000000"/>
          <w:sz w:val="28"/>
          <w:szCs w:val="28"/>
          <w:vertAlign w:val="subscript"/>
        </w:rPr>
        <w:t>2</w:t>
      </w:r>
      <w:r w:rsidRPr="00C43EA3">
        <w:rPr>
          <w:color w:val="000000"/>
          <w:sz w:val="28"/>
          <w:szCs w:val="28"/>
          <w:lang w:val="en-US"/>
        </w:rPr>
        <w:t>S</w:t>
      </w:r>
      <w:r w:rsidRPr="00C43EA3">
        <w:rPr>
          <w:color w:val="000000"/>
          <w:sz w:val="28"/>
          <w:szCs w:val="28"/>
        </w:rPr>
        <w:t>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Легкие парафиновые углеводороды при восстановлении сульфатов окис</w:t>
      </w:r>
      <w:r w:rsidRPr="00C43EA3">
        <w:rPr>
          <w:color w:val="000000"/>
          <w:sz w:val="28"/>
          <w:szCs w:val="28"/>
        </w:rPr>
        <w:softHyphen/>
        <w:t>ляются до двуокиси углерода и воды, а тяжелые, начиная с С</w:t>
      </w:r>
      <w:r w:rsidRPr="00C43EA3">
        <w:rPr>
          <w:color w:val="000000"/>
          <w:sz w:val="28"/>
          <w:szCs w:val="28"/>
          <w:vertAlign w:val="subscript"/>
        </w:rPr>
        <w:t>10</w:t>
      </w:r>
      <w:r w:rsidRPr="00C43EA3">
        <w:rPr>
          <w:color w:val="000000"/>
          <w:sz w:val="28"/>
          <w:szCs w:val="28"/>
        </w:rPr>
        <w:t>Н</w:t>
      </w:r>
      <w:r w:rsidRPr="00C43EA3">
        <w:rPr>
          <w:color w:val="000000"/>
          <w:sz w:val="28"/>
          <w:szCs w:val="28"/>
          <w:vertAlign w:val="subscript"/>
        </w:rPr>
        <w:t>22</w:t>
      </w:r>
      <w:r w:rsidRPr="00C43EA3">
        <w:rPr>
          <w:color w:val="000000"/>
          <w:sz w:val="28"/>
          <w:szCs w:val="28"/>
        </w:rPr>
        <w:t>, превра</w:t>
      </w:r>
      <w:r w:rsidRPr="00C43EA3">
        <w:rPr>
          <w:color w:val="000000"/>
          <w:sz w:val="28"/>
          <w:szCs w:val="28"/>
        </w:rPr>
        <w:softHyphen/>
        <w:t>щаются в полинафтенаты. Однако независимо от конечных пунктов окисле</w:t>
      </w:r>
      <w:r w:rsidRPr="00C43EA3">
        <w:rPr>
          <w:color w:val="000000"/>
          <w:sz w:val="28"/>
          <w:szCs w:val="28"/>
        </w:rPr>
        <w:softHyphen/>
        <w:t>ния углеводородов восстановление сульфатов во всех случаях приводит к потере легких фракций нефти, увеличению ее плотности и вязкости и обо</w:t>
      </w:r>
      <w:r w:rsidRPr="00C43EA3">
        <w:rPr>
          <w:color w:val="000000"/>
          <w:sz w:val="28"/>
          <w:szCs w:val="28"/>
        </w:rPr>
        <w:softHyphen/>
        <w:t>гащению нефти (и воды) сероводородом и углекислым газом, что также снижает рН воды. Сероводородное заражение — одно из важнейших послед</w:t>
      </w:r>
      <w:r w:rsidRPr="00C43EA3">
        <w:rPr>
          <w:color w:val="000000"/>
          <w:sz w:val="28"/>
          <w:szCs w:val="28"/>
        </w:rPr>
        <w:softHyphen/>
        <w:t>ствий этого процесса и в то же время надежный индикатор его протекания.</w:t>
      </w:r>
    </w:p>
    <w:p w:rsidR="008605E5" w:rsidRPr="00C43EA3" w:rsidRDefault="008605E5" w:rsidP="008605E5">
      <w:pPr>
        <w:shd w:val="clear" w:color="auto" w:fill="FFFFFF"/>
        <w:tabs>
          <w:tab w:val="left" w:pos="258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3EA3">
        <w:rPr>
          <w:color w:val="000000"/>
          <w:sz w:val="28"/>
          <w:szCs w:val="28"/>
        </w:rPr>
        <w:t>В настоящее время можно считать доказанным, что процесс восстановления сульфатов за счет окисления нефти и образования сероводорода при разработке нефтяных месторождений происходит биогенным путем в результате жизнедеятельности сульфатвосстанавливающих бактерий (</w:t>
      </w:r>
      <w:r w:rsidRPr="00C43EA3">
        <w:rPr>
          <w:color w:val="000000"/>
          <w:sz w:val="28"/>
          <w:szCs w:val="28"/>
          <w:lang w:val="en-US"/>
        </w:rPr>
        <w:t>Desulfovibrio</w:t>
      </w:r>
      <w:r w:rsidRPr="00C43EA3">
        <w:rPr>
          <w:color w:val="000000"/>
          <w:sz w:val="28"/>
          <w:szCs w:val="28"/>
        </w:rPr>
        <w:t xml:space="preserve"> </w:t>
      </w:r>
      <w:r w:rsidRPr="00C43EA3">
        <w:rPr>
          <w:color w:val="000000"/>
          <w:sz w:val="28"/>
          <w:szCs w:val="28"/>
          <w:lang w:val="en-US"/>
        </w:rPr>
        <w:t>desulfuricans</w:t>
      </w:r>
      <w:r w:rsidRPr="00C43EA3">
        <w:rPr>
          <w:color w:val="000000"/>
          <w:sz w:val="28"/>
          <w:szCs w:val="28"/>
        </w:rPr>
        <w:t>).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Специальными лабораторными исследованиями было установлено, что жизнедеятельность сульфатвосстанавливающих бактерии подавляется при температуре выше 80—90 °С и минерализации воды более 100—150 г/л. Про</w:t>
      </w:r>
      <w:r w:rsidRPr="00C43EA3">
        <w:rPr>
          <w:color w:val="000000"/>
          <w:sz w:val="28"/>
          <w:szCs w:val="28"/>
        </w:rPr>
        <w:softHyphen/>
        <w:t>мысловые наблюдения подтверждают эти данные.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Сероводород отмечен в тех залежах, в которые в процессе разработки закачивают поверхностные пресные и морские воды или подземные воды неглубоких горизонтов, и неизвестен при закачке высокоминерализованных пластовых или сточных вод (рассолов). Во всех случаях сероводородного заражения нефтяных пластов в нефти и попутной воде были обнаружены сульфатвосстанавливающие бактерии, максимальное их количество дости</w:t>
      </w:r>
      <w:r w:rsidRPr="00C43EA3">
        <w:rPr>
          <w:color w:val="000000"/>
          <w:sz w:val="28"/>
          <w:szCs w:val="28"/>
        </w:rPr>
        <w:softHyphen/>
        <w:t>гало 10</w:t>
      </w:r>
      <w:r w:rsidRPr="00C43EA3">
        <w:rPr>
          <w:color w:val="000000"/>
          <w:sz w:val="28"/>
          <w:szCs w:val="28"/>
          <w:vertAlign w:val="superscript"/>
        </w:rPr>
        <w:t>4</w:t>
      </w:r>
      <w:r w:rsidRPr="00C43EA3">
        <w:rPr>
          <w:color w:val="000000"/>
          <w:sz w:val="28"/>
          <w:szCs w:val="28"/>
        </w:rPr>
        <w:t xml:space="preserve"> / 10</w:t>
      </w:r>
      <w:r w:rsidRPr="00C43EA3">
        <w:rPr>
          <w:color w:val="000000"/>
          <w:sz w:val="28"/>
          <w:szCs w:val="28"/>
          <w:vertAlign w:val="superscript"/>
        </w:rPr>
        <w:t>7</w:t>
      </w:r>
      <w:r w:rsidRPr="00C43EA3">
        <w:rPr>
          <w:color w:val="000000"/>
          <w:sz w:val="28"/>
          <w:szCs w:val="28"/>
        </w:rPr>
        <w:t xml:space="preserve"> клеток в 1 мл воды (Ромашкинское месторождение).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В глубокие нефтяные пласты бактерии заносят вместе с нагнетаемой водой. В естественных условиях сульфатвосстанавливающие бактерии встре</w:t>
      </w:r>
      <w:r w:rsidRPr="00C43EA3">
        <w:rPr>
          <w:color w:val="000000"/>
          <w:sz w:val="28"/>
          <w:szCs w:val="28"/>
        </w:rPr>
        <w:softHyphen/>
        <w:t>чаются в речных и морских водах, но особенно многочисленны в водах не</w:t>
      </w:r>
      <w:r w:rsidRPr="00C43EA3">
        <w:rPr>
          <w:color w:val="000000"/>
          <w:sz w:val="28"/>
          <w:szCs w:val="28"/>
        </w:rPr>
        <w:softHyphen/>
        <w:t>глубоких подземных горизонтов, содержащих углеводороды. Сульфаты весьма распространены в морской и пресной водах, содержатся в некоторых пластовых водах, а также выщелачиваются закачиваемой водой из гипсоносных пород.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43EA3">
        <w:rPr>
          <w:color w:val="000000"/>
          <w:sz w:val="28"/>
          <w:szCs w:val="28"/>
        </w:rPr>
        <w:t>Промысловые наблюдения показывают, что обычно сероводород появля</w:t>
      </w:r>
      <w:r w:rsidRPr="00C43EA3">
        <w:rPr>
          <w:color w:val="000000"/>
          <w:sz w:val="28"/>
          <w:szCs w:val="28"/>
        </w:rPr>
        <w:softHyphen/>
        <w:t>ется в призабойной зоне нагнетательных скважин через год после закачки воды, содержащей сульфатвосстанавливающие бактерии. По мере процесса разработки он достигает забоев эксплуатационных скважин, концентрируясь главным образом в попутных водах. Максимальные содержания достигают нескольких сот миллиграммов на 1 л, нередки концентрации до 100 мл/л, обычные значения 40—50 мл/л. С появлением сероводородной воды в экс</w:t>
      </w:r>
      <w:r w:rsidRPr="00C43EA3">
        <w:rPr>
          <w:color w:val="000000"/>
          <w:sz w:val="28"/>
          <w:szCs w:val="28"/>
        </w:rPr>
        <w:softHyphen/>
        <w:t>плуатационных скважинах заметно увеличивается скорость коррозии нефте</w:t>
      </w:r>
      <w:r w:rsidRPr="00C43EA3">
        <w:rPr>
          <w:color w:val="000000"/>
          <w:sz w:val="28"/>
          <w:szCs w:val="28"/>
        </w:rPr>
        <w:softHyphen/>
        <w:t>промыслового оборудования. В настоящее время борьбе с сероводородным заражением нефтяных пластов уделяется большое внимание.</w:t>
      </w:r>
    </w:p>
    <w:p w:rsidR="00840D6E" w:rsidRDefault="008605E5" w:rsidP="008605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3EA3">
        <w:rPr>
          <w:color w:val="000000"/>
          <w:sz w:val="28"/>
          <w:szCs w:val="28"/>
        </w:rPr>
        <w:t>К изменению состава нефти и растворенного газа в процессе разработки при нагнетании в пласт воды приводит также избирательное растворение ряда компонентов в воде. Наиболее высокой растворимостью в воде обла</w:t>
      </w:r>
      <w:r w:rsidRPr="00C43EA3">
        <w:rPr>
          <w:color w:val="000000"/>
          <w:sz w:val="28"/>
          <w:szCs w:val="28"/>
        </w:rPr>
        <w:softHyphen/>
        <w:t>дают метан и азот, их содержание в попутном газе в процессе разработки с заводнением обычно заметно уменьшается. Уменьшение газосодержания пластовой нефти за счет удаления наиболее растворимых компонентов газа приводит к весьма заметному снижению давления насыщения, увеличению плотности и вязкости пластовой нефти.</w:t>
      </w:r>
      <w:r w:rsidRPr="00C43EA3">
        <w:rPr>
          <w:rStyle w:val="a7"/>
          <w:color w:val="000000"/>
          <w:sz w:val="28"/>
          <w:szCs w:val="28"/>
        </w:rPr>
        <w:footnoteReference w:id="3"/>
      </w:r>
    </w:p>
    <w:p w:rsidR="00F952D6" w:rsidRPr="004335A2" w:rsidRDefault="00840D6E" w:rsidP="00F952D6">
      <w:pPr>
        <w:pStyle w:val="1"/>
        <w:ind w:firstLine="720"/>
        <w:jc w:val="center"/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bookmarkStart w:id="4" w:name="_Toc247854085"/>
      <w:bookmarkStart w:id="5" w:name="_Toc250934268"/>
      <w:r w:rsidR="00F952D6" w:rsidRPr="004335A2">
        <w:rPr>
          <w:sz w:val="28"/>
          <w:szCs w:val="28"/>
        </w:rPr>
        <w:t>Список использованной литературы</w:t>
      </w:r>
      <w:bookmarkEnd w:id="4"/>
      <w:bookmarkEnd w:id="5"/>
    </w:p>
    <w:p w:rsidR="00F952D6" w:rsidRPr="00343F38" w:rsidRDefault="00F952D6" w:rsidP="00F952D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F952D6" w:rsidRPr="00343F38" w:rsidRDefault="00F952D6" w:rsidP="00F952D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43F38">
        <w:rPr>
          <w:sz w:val="28"/>
          <w:szCs w:val="28"/>
        </w:rPr>
        <w:t>Габриэлянц Г.А. Геология нефтяных и газовых месторождений. – М.: Недра, 1984. – 285 с.</w:t>
      </w:r>
    </w:p>
    <w:p w:rsidR="00F952D6" w:rsidRPr="00343F38" w:rsidRDefault="00F952D6" w:rsidP="00F952D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43F38">
        <w:rPr>
          <w:sz w:val="28"/>
          <w:szCs w:val="28"/>
        </w:rPr>
        <w:t>Геология и геохимия нефти и газа /Под общ. ред.  А.А.Бакирова и З.А.Табасаранского. – М.: Недра, 1982. – 288 с.</w:t>
      </w:r>
    </w:p>
    <w:p w:rsidR="00F952D6" w:rsidRPr="00343F38" w:rsidRDefault="00F952D6" w:rsidP="00F952D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43F38">
        <w:rPr>
          <w:sz w:val="28"/>
          <w:szCs w:val="28"/>
        </w:rPr>
        <w:t>Добровольский В.В. Геология. – М.: ВЛАДОС, 2001. – 320 с.</w:t>
      </w:r>
    </w:p>
    <w:p w:rsidR="00F952D6" w:rsidRPr="00343F38" w:rsidRDefault="00F952D6" w:rsidP="00F952D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43F38">
        <w:rPr>
          <w:sz w:val="28"/>
          <w:szCs w:val="28"/>
        </w:rPr>
        <w:t xml:space="preserve">Красильщиков Я.С. Основы геологии, поисков и разведки месторождений полезных ископаемых. – М.: Недра, 1987. – 236 с. </w:t>
      </w:r>
    </w:p>
    <w:p w:rsidR="00F952D6" w:rsidRPr="00343F38" w:rsidRDefault="00F952D6" w:rsidP="00F952D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43F38">
        <w:rPr>
          <w:sz w:val="28"/>
          <w:szCs w:val="28"/>
        </w:rPr>
        <w:t>Справочник по геологии нефти и газа /Под ред. Еременко Н.А. – М.: Недра, 1984. – 480 с.</w:t>
      </w:r>
    </w:p>
    <w:p w:rsidR="008605E5" w:rsidRPr="00C43EA3" w:rsidRDefault="008605E5" w:rsidP="008605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F0CB4" w:rsidRDefault="002F0CB4">
      <w:bookmarkStart w:id="6" w:name="_GoBack"/>
      <w:bookmarkEnd w:id="6"/>
    </w:p>
    <w:sectPr w:rsidR="002F0CB4" w:rsidSect="00B03DBE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229" w:rsidRDefault="00FF2229">
      <w:r>
        <w:separator/>
      </w:r>
    </w:p>
  </w:endnote>
  <w:endnote w:type="continuationSeparator" w:id="0">
    <w:p w:rsidR="00FF2229" w:rsidRDefault="00FF2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8FA" w:rsidRDefault="006268FA" w:rsidP="00B03DB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8FA" w:rsidRDefault="006268FA" w:rsidP="0087753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8FA" w:rsidRDefault="006268FA" w:rsidP="00B03DB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4B1D">
      <w:rPr>
        <w:rStyle w:val="a6"/>
        <w:noProof/>
      </w:rPr>
      <w:t>2</w:t>
    </w:r>
    <w:r>
      <w:rPr>
        <w:rStyle w:val="a6"/>
      </w:rPr>
      <w:fldChar w:fldCharType="end"/>
    </w:r>
  </w:p>
  <w:p w:rsidR="006268FA" w:rsidRDefault="006268FA" w:rsidP="0087753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229" w:rsidRDefault="00FF2229">
      <w:r>
        <w:separator/>
      </w:r>
    </w:p>
  </w:footnote>
  <w:footnote w:type="continuationSeparator" w:id="0">
    <w:p w:rsidR="00FF2229" w:rsidRDefault="00FF2229">
      <w:r>
        <w:continuationSeparator/>
      </w:r>
    </w:p>
  </w:footnote>
  <w:footnote w:id="1">
    <w:p w:rsidR="006268FA" w:rsidRDefault="006268FA" w:rsidP="008605E5">
      <w:pPr>
        <w:shd w:val="clear" w:color="auto" w:fill="FFFFFF"/>
        <w:spacing w:line="360" w:lineRule="auto"/>
        <w:jc w:val="both"/>
      </w:pPr>
      <w:r>
        <w:rPr>
          <w:rStyle w:val="a7"/>
        </w:rPr>
        <w:footnoteRef/>
      </w:r>
      <w:r>
        <w:t xml:space="preserve"> Проблемы освоения месторождений Уренгойского комплекса. – М.: Недра, 2003.-С. 96.</w:t>
      </w:r>
    </w:p>
    <w:p w:rsidR="006268FA" w:rsidRDefault="006268FA" w:rsidP="008605E5">
      <w:pPr>
        <w:shd w:val="clear" w:color="auto" w:fill="FFFFFF"/>
        <w:spacing w:line="360" w:lineRule="auto"/>
        <w:jc w:val="both"/>
      </w:pPr>
    </w:p>
  </w:footnote>
  <w:footnote w:id="2">
    <w:p w:rsidR="006268FA" w:rsidRDefault="006268FA" w:rsidP="008605E5">
      <w:pPr>
        <w:shd w:val="clear" w:color="auto" w:fill="FFFFFF"/>
        <w:jc w:val="both"/>
      </w:pPr>
      <w:r>
        <w:rPr>
          <w:rStyle w:val="a7"/>
        </w:rPr>
        <w:footnoteRef/>
      </w:r>
      <w:r>
        <w:t xml:space="preserve"> Справочник нефтепромысловой геологии/Под ред. Н. Е. Быкова. – М.: Недра, 2001. – С. 132.</w:t>
      </w:r>
    </w:p>
    <w:p w:rsidR="006268FA" w:rsidRDefault="006268FA" w:rsidP="008605E5">
      <w:pPr>
        <w:shd w:val="clear" w:color="auto" w:fill="FFFFFF"/>
        <w:jc w:val="both"/>
      </w:pPr>
    </w:p>
  </w:footnote>
  <w:footnote w:id="3">
    <w:p w:rsidR="006268FA" w:rsidRDefault="006268FA" w:rsidP="008605E5">
      <w:pPr>
        <w:shd w:val="clear" w:color="auto" w:fill="FFFFFF"/>
        <w:spacing w:line="360" w:lineRule="auto"/>
        <w:jc w:val="both"/>
      </w:pPr>
      <w:r>
        <w:rPr>
          <w:rStyle w:val="a7"/>
        </w:rPr>
        <w:footnoteRef/>
      </w:r>
      <w:r>
        <w:t xml:space="preserve"> Габриэлянц Г. А. Геология нефтяных и газовых месторождений. – М.: Недра, 2003. – С. 65.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46A1C"/>
    <w:multiLevelType w:val="hybridMultilevel"/>
    <w:tmpl w:val="1EEEF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47687"/>
    <w:multiLevelType w:val="multilevel"/>
    <w:tmpl w:val="DDD4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27E"/>
    <w:rsid w:val="000013B8"/>
    <w:rsid w:val="0001777D"/>
    <w:rsid w:val="0002712C"/>
    <w:rsid w:val="00027666"/>
    <w:rsid w:val="00044581"/>
    <w:rsid w:val="00085709"/>
    <w:rsid w:val="000B12E8"/>
    <w:rsid w:val="000B770C"/>
    <w:rsid w:val="000E4429"/>
    <w:rsid w:val="00133E6F"/>
    <w:rsid w:val="00150AC6"/>
    <w:rsid w:val="00180A90"/>
    <w:rsid w:val="001A2CD6"/>
    <w:rsid w:val="001B4376"/>
    <w:rsid w:val="00216552"/>
    <w:rsid w:val="00222FEE"/>
    <w:rsid w:val="00225EF6"/>
    <w:rsid w:val="00290F54"/>
    <w:rsid w:val="0029174C"/>
    <w:rsid w:val="002B0FC9"/>
    <w:rsid w:val="002F0CB4"/>
    <w:rsid w:val="003059AB"/>
    <w:rsid w:val="00347641"/>
    <w:rsid w:val="003729F7"/>
    <w:rsid w:val="003A329E"/>
    <w:rsid w:val="003B4EE9"/>
    <w:rsid w:val="003C38FD"/>
    <w:rsid w:val="0040008D"/>
    <w:rsid w:val="004314C8"/>
    <w:rsid w:val="00453902"/>
    <w:rsid w:val="00463BA0"/>
    <w:rsid w:val="0047319C"/>
    <w:rsid w:val="0049453F"/>
    <w:rsid w:val="004B1C8A"/>
    <w:rsid w:val="004B288C"/>
    <w:rsid w:val="004E0A84"/>
    <w:rsid w:val="004F7DFD"/>
    <w:rsid w:val="00552732"/>
    <w:rsid w:val="00555A9F"/>
    <w:rsid w:val="00607E7F"/>
    <w:rsid w:val="00626762"/>
    <w:rsid w:val="006268FA"/>
    <w:rsid w:val="0064706B"/>
    <w:rsid w:val="00654F62"/>
    <w:rsid w:val="0067775A"/>
    <w:rsid w:val="00680886"/>
    <w:rsid w:val="00684F83"/>
    <w:rsid w:val="006A35C2"/>
    <w:rsid w:val="006A4DAB"/>
    <w:rsid w:val="006A52A0"/>
    <w:rsid w:val="006F566E"/>
    <w:rsid w:val="00727454"/>
    <w:rsid w:val="00773FE5"/>
    <w:rsid w:val="00776B10"/>
    <w:rsid w:val="0079562E"/>
    <w:rsid w:val="008013A1"/>
    <w:rsid w:val="00822A53"/>
    <w:rsid w:val="00840D6E"/>
    <w:rsid w:val="00850774"/>
    <w:rsid w:val="008605E5"/>
    <w:rsid w:val="00872D9C"/>
    <w:rsid w:val="0087753E"/>
    <w:rsid w:val="0088659C"/>
    <w:rsid w:val="00893E37"/>
    <w:rsid w:val="008E3EF7"/>
    <w:rsid w:val="00903680"/>
    <w:rsid w:val="00930326"/>
    <w:rsid w:val="00942C90"/>
    <w:rsid w:val="00954255"/>
    <w:rsid w:val="00984B1D"/>
    <w:rsid w:val="00987756"/>
    <w:rsid w:val="009D3FCD"/>
    <w:rsid w:val="00A267C5"/>
    <w:rsid w:val="00A43748"/>
    <w:rsid w:val="00A60FB8"/>
    <w:rsid w:val="00AC1070"/>
    <w:rsid w:val="00B02111"/>
    <w:rsid w:val="00B03DBE"/>
    <w:rsid w:val="00B34B64"/>
    <w:rsid w:val="00B7463B"/>
    <w:rsid w:val="00B761FB"/>
    <w:rsid w:val="00BF1844"/>
    <w:rsid w:val="00BF6948"/>
    <w:rsid w:val="00C23440"/>
    <w:rsid w:val="00C2444B"/>
    <w:rsid w:val="00CA5E75"/>
    <w:rsid w:val="00CB427E"/>
    <w:rsid w:val="00CC5464"/>
    <w:rsid w:val="00D06941"/>
    <w:rsid w:val="00D20FA1"/>
    <w:rsid w:val="00D43652"/>
    <w:rsid w:val="00D61112"/>
    <w:rsid w:val="00D70B5E"/>
    <w:rsid w:val="00D71643"/>
    <w:rsid w:val="00D957B8"/>
    <w:rsid w:val="00E01D4B"/>
    <w:rsid w:val="00E517E7"/>
    <w:rsid w:val="00E60341"/>
    <w:rsid w:val="00ED1BA7"/>
    <w:rsid w:val="00EE3DF8"/>
    <w:rsid w:val="00F13BFC"/>
    <w:rsid w:val="00F212CE"/>
    <w:rsid w:val="00F517F5"/>
    <w:rsid w:val="00F952D6"/>
    <w:rsid w:val="00FC5ACF"/>
    <w:rsid w:val="00FD1D75"/>
    <w:rsid w:val="00FE1E3F"/>
    <w:rsid w:val="00FF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A984FF4-4B0C-41CA-81C5-D7125193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ED1B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4945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945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2B0FC9"/>
    <w:rPr>
      <w:sz w:val="28"/>
    </w:rPr>
  </w:style>
  <w:style w:type="paragraph" w:styleId="a3">
    <w:name w:val="Normal (Web)"/>
    <w:basedOn w:val="a"/>
    <w:rsid w:val="0049453F"/>
    <w:pPr>
      <w:spacing w:before="100" w:beforeAutospacing="1" w:after="100" w:afterAutospacing="1"/>
    </w:pPr>
  </w:style>
  <w:style w:type="character" w:styleId="a4">
    <w:name w:val="Hyperlink"/>
    <w:basedOn w:val="a0"/>
    <w:rsid w:val="0049453F"/>
    <w:rPr>
      <w:color w:val="0000FF"/>
      <w:u w:val="single"/>
    </w:rPr>
  </w:style>
  <w:style w:type="character" w:customStyle="1" w:styleId="toctoggle">
    <w:name w:val="toctoggle"/>
    <w:basedOn w:val="a0"/>
    <w:rsid w:val="0049453F"/>
  </w:style>
  <w:style w:type="character" w:customStyle="1" w:styleId="tocnumber">
    <w:name w:val="tocnumber"/>
    <w:basedOn w:val="a0"/>
    <w:rsid w:val="0049453F"/>
  </w:style>
  <w:style w:type="character" w:customStyle="1" w:styleId="toctext">
    <w:name w:val="toctext"/>
    <w:basedOn w:val="a0"/>
    <w:rsid w:val="0049453F"/>
  </w:style>
  <w:style w:type="character" w:customStyle="1" w:styleId="editsection">
    <w:name w:val="editsection"/>
    <w:basedOn w:val="a0"/>
    <w:rsid w:val="0049453F"/>
  </w:style>
  <w:style w:type="character" w:customStyle="1" w:styleId="mw-headline">
    <w:name w:val="mw-headline"/>
    <w:basedOn w:val="a0"/>
    <w:rsid w:val="0049453F"/>
  </w:style>
  <w:style w:type="paragraph" w:styleId="a5">
    <w:name w:val="footer"/>
    <w:basedOn w:val="a"/>
    <w:rsid w:val="0087753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7753E"/>
  </w:style>
  <w:style w:type="paragraph" w:styleId="20">
    <w:name w:val="toc 2"/>
    <w:basedOn w:val="a"/>
    <w:next w:val="a"/>
    <w:autoRedefine/>
    <w:semiHidden/>
    <w:rsid w:val="00347641"/>
    <w:pPr>
      <w:ind w:left="240"/>
    </w:pPr>
  </w:style>
  <w:style w:type="paragraph" w:styleId="30">
    <w:name w:val="toc 3"/>
    <w:basedOn w:val="a"/>
    <w:next w:val="a"/>
    <w:autoRedefine/>
    <w:semiHidden/>
    <w:rsid w:val="00347641"/>
    <w:pPr>
      <w:ind w:left="480"/>
    </w:pPr>
  </w:style>
  <w:style w:type="paragraph" w:styleId="21">
    <w:name w:val="Body Text Indent 2"/>
    <w:basedOn w:val="a"/>
    <w:link w:val="22"/>
    <w:rsid w:val="008605E5"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851"/>
      <w:jc w:val="both"/>
    </w:pPr>
    <w:rPr>
      <w:i/>
      <w:iCs/>
      <w:color w:val="000000"/>
      <w:szCs w:val="17"/>
    </w:rPr>
  </w:style>
  <w:style w:type="character" w:customStyle="1" w:styleId="22">
    <w:name w:val="Основний текст з відступом 2 Знак"/>
    <w:basedOn w:val="a0"/>
    <w:link w:val="21"/>
    <w:semiHidden/>
    <w:locked/>
    <w:rsid w:val="008605E5"/>
    <w:rPr>
      <w:i/>
      <w:iCs/>
      <w:color w:val="000000"/>
      <w:sz w:val="24"/>
      <w:szCs w:val="17"/>
      <w:lang w:val="ru-RU" w:eastAsia="ru-RU" w:bidi="ar-SA"/>
    </w:rPr>
  </w:style>
  <w:style w:type="character" w:styleId="a7">
    <w:name w:val="footnote reference"/>
    <w:basedOn w:val="a0"/>
    <w:semiHidden/>
    <w:rsid w:val="008605E5"/>
    <w:rPr>
      <w:rFonts w:cs="Times New Roman"/>
      <w:vertAlign w:val="superscript"/>
    </w:rPr>
  </w:style>
  <w:style w:type="paragraph" w:styleId="31">
    <w:name w:val="Body Text Indent 3"/>
    <w:basedOn w:val="a"/>
    <w:link w:val="32"/>
    <w:rsid w:val="008605E5"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851"/>
      <w:jc w:val="both"/>
    </w:pPr>
    <w:rPr>
      <w:color w:val="000000"/>
      <w:szCs w:val="18"/>
    </w:rPr>
  </w:style>
  <w:style w:type="character" w:customStyle="1" w:styleId="32">
    <w:name w:val="Основний текст з відступом 3 Знак"/>
    <w:basedOn w:val="a0"/>
    <w:link w:val="31"/>
    <w:semiHidden/>
    <w:locked/>
    <w:rsid w:val="008605E5"/>
    <w:rPr>
      <w:color w:val="000000"/>
      <w:sz w:val="24"/>
      <w:szCs w:val="18"/>
      <w:lang w:val="ru-RU" w:eastAsia="ru-RU" w:bidi="ar-SA"/>
    </w:rPr>
  </w:style>
  <w:style w:type="table" w:styleId="a8">
    <w:name w:val="Table Grid"/>
    <w:basedOn w:val="a1"/>
    <w:rsid w:val="00085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7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3696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69</Company>
  <LinksUpToDate>false</LinksUpToDate>
  <CharactersWithSpaces>24715</CharactersWithSpaces>
  <SharedDoc>false</SharedDoc>
  <HLinks>
    <vt:vector size="66" baseType="variant">
      <vt:variant>
        <vt:i4>7012404</vt:i4>
      </vt:variant>
      <vt:variant>
        <vt:i4>48</vt:i4>
      </vt:variant>
      <vt:variant>
        <vt:i4>0</vt:i4>
      </vt:variant>
      <vt:variant>
        <vt:i4>5</vt:i4>
      </vt:variant>
      <vt:variant>
        <vt:lpwstr>http://dic.academic.ru/dic.nsf/bse/131634/%D0%A1%D0%B5%D1%80%D0%B0</vt:lpwstr>
      </vt:variant>
      <vt:variant>
        <vt:lpwstr/>
      </vt:variant>
      <vt:variant>
        <vt:i4>5111884</vt:i4>
      </vt:variant>
      <vt:variant>
        <vt:i4>45</vt:i4>
      </vt:variant>
      <vt:variant>
        <vt:i4>0</vt:i4>
      </vt:variant>
      <vt:variant>
        <vt:i4>5</vt:i4>
      </vt:variant>
      <vt:variant>
        <vt:lpwstr>http://dic.academic.ru/dic.nsf/bse/81207/%D0%93%D1%80%D0%B0%D1%84%D0%B8%D1%82</vt:lpwstr>
      </vt:variant>
      <vt:variant>
        <vt:lpwstr/>
      </vt:variant>
      <vt:variant>
        <vt:i4>6422577</vt:i4>
      </vt:variant>
      <vt:variant>
        <vt:i4>42</vt:i4>
      </vt:variant>
      <vt:variant>
        <vt:i4>0</vt:i4>
      </vt:variant>
      <vt:variant>
        <vt:i4>5</vt:i4>
      </vt:variant>
      <vt:variant>
        <vt:lpwstr>http://dic.academic.ru/dic.nsf/bse/62912/%D0%90%D0%BB%D0%BC%D0%B0%D0%B7</vt:lpwstr>
      </vt:variant>
      <vt:variant>
        <vt:lpwstr/>
      </vt:variant>
      <vt:variant>
        <vt:i4>4980756</vt:i4>
      </vt:variant>
      <vt:variant>
        <vt:i4>39</vt:i4>
      </vt:variant>
      <vt:variant>
        <vt:i4>0</vt:i4>
      </vt:variant>
      <vt:variant>
        <vt:i4>5</vt:i4>
      </vt:variant>
      <vt:variant>
        <vt:lpwstr>http://dic.academic.ru/dic.nsf/bse/131749/%D0%A1%D0%B5%D1%80%D0%B5%D0%B1%D1%80%D0%BE</vt:lpwstr>
      </vt:variant>
      <vt:variant>
        <vt:lpwstr/>
      </vt:variant>
      <vt:variant>
        <vt:i4>7274606</vt:i4>
      </vt:variant>
      <vt:variant>
        <vt:i4>36</vt:i4>
      </vt:variant>
      <vt:variant>
        <vt:i4>0</vt:i4>
      </vt:variant>
      <vt:variant>
        <vt:i4>5</vt:i4>
      </vt:variant>
      <vt:variant>
        <vt:lpwstr>http://dic.academic.ru/dic.nsf/bse/107744/%D0%9C%D0%B5%D0%B4%D1%8C</vt:lpwstr>
      </vt:variant>
      <vt:variant>
        <vt:lpwstr/>
      </vt:variant>
      <vt:variant>
        <vt:i4>5046296</vt:i4>
      </vt:variant>
      <vt:variant>
        <vt:i4>33</vt:i4>
      </vt:variant>
      <vt:variant>
        <vt:i4>0</vt:i4>
      </vt:variant>
      <vt:variant>
        <vt:i4>5</vt:i4>
      </vt:variant>
      <vt:variant>
        <vt:lpwstr>http://dic.academic.ru/dic.nsf/bse/89046/%D0%97%D0%BE%D0%BB%D0%BE%D1%82%D0%BE</vt:lpwstr>
      </vt:variant>
      <vt:variant>
        <vt:lpwstr/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_Toc250934268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_Toc250934267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_Toc250934266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_Toc250934265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_Toc250934264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69</dc:creator>
  <cp:keywords/>
  <dc:description/>
  <cp:lastModifiedBy>Irina</cp:lastModifiedBy>
  <cp:revision>2</cp:revision>
  <dcterms:created xsi:type="dcterms:W3CDTF">2014-08-18T18:21:00Z</dcterms:created>
  <dcterms:modified xsi:type="dcterms:W3CDTF">2014-08-18T18:21:00Z</dcterms:modified>
</cp:coreProperties>
</file>