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F38" w:rsidRDefault="00693F38">
      <w:pPr>
        <w:pStyle w:val="a3"/>
        <w:ind w:firstLine="567"/>
        <w:jc w:val="center"/>
        <w:rPr>
          <w:b/>
          <w:bCs/>
        </w:rPr>
      </w:pPr>
      <w:r>
        <w:rPr>
          <w:b/>
          <w:bCs/>
        </w:rPr>
        <w:t>Международная торговля в системе мирохозяйственных связей стран</w:t>
      </w:r>
    </w:p>
    <w:p w:rsidR="00693F38" w:rsidRDefault="00693F38">
      <w:pPr>
        <w:pStyle w:val="a3"/>
        <w:ind w:firstLine="567"/>
        <w:jc w:val="center"/>
        <w:rPr>
          <w:b/>
          <w:bCs/>
        </w:rPr>
      </w:pPr>
      <w:r>
        <w:rPr>
          <w:b/>
          <w:bCs/>
        </w:rPr>
        <w:t>1. Значение международной торговли</w:t>
      </w:r>
    </w:p>
    <w:p w:rsidR="00693F38" w:rsidRDefault="00693F38">
      <w:pPr>
        <w:pStyle w:val="a3"/>
        <w:ind w:firstLine="567"/>
      </w:pPr>
      <w:r>
        <w:t>Международная торговля является важным средством развития национальной экономики, поскольку с ее помощью повышается производительность труда, увеличивается общий объем производства. Государства, экспортирующие свои товары в другие страны, получают значительный экономический выигрыш за счет развития специализированных производств, которые обладают сравнительно более высокой эффективностью по сравнению со странами, производящими аналогичные продукцию.</w:t>
      </w:r>
    </w:p>
    <w:p w:rsidR="00693F38" w:rsidRDefault="00693F38">
      <w:pPr>
        <w:pStyle w:val="a3"/>
        <w:ind w:firstLine="567"/>
      </w:pPr>
      <w:r>
        <w:t>Принцип сравнительных преимуществ утверждает, что совокупный объем выпуска продукции будет наибольшим, если каждый товар будет производиться с меньшими общими издержками производства по сравнению с той страной, куда ввозится этот товар. И что естественно, поскольку выгоднее купить товар другой страны, чем организовывать собственное производство, которое потребует больших затрат на аналогичный товар.</w:t>
      </w:r>
    </w:p>
    <w:p w:rsidR="00693F38" w:rsidRDefault="00693F38">
      <w:pPr>
        <w:pStyle w:val="a3"/>
        <w:ind w:firstLine="567"/>
      </w:pPr>
      <w:r>
        <w:rPr>
          <w:color w:val="000080"/>
        </w:rPr>
        <w:t>Благодаря международной торговле мировая экономика может достигнуть более эффективного размещения ресурсов и более высокого уровня материального благосостояния народа. Каждая страна должна производить те товары, издержки производства которых относительно ниже издержек в других странах, и обменивать товары, на которых она специализируется, на продукты, издержки производства, которых в стране ниже по сравнению со всей страной. Если так будет поступать каждая страна, то мир может в полной степени использовать преимущества географический и человеческий специализации.</w:t>
      </w:r>
    </w:p>
    <w:p w:rsidR="00693F38" w:rsidRDefault="00693F38">
      <w:pPr>
        <w:pStyle w:val="a3"/>
        <w:ind w:firstLine="567"/>
      </w:pPr>
      <w:r>
        <w:rPr>
          <w:color w:val="000080"/>
        </w:rPr>
        <w:t>Кроме указанной выгоды от международной торговли следует указать и на побочные выгоды, которые получает страна от международного разделения труда. Свободна международная торговля стимулирует конкуренцию и ограничивает господство монополий. Возрастающая конкуренция иностранных фирм вынуждает местные фирмы переходить к производственным технологиям, обеспечивающим наиболее низкие издержки на создание соответствующих товаров. Конечно, переход на новые технологии предполагает использование самых новейших достижений в области науки и техники, что в целом способствует повышению качества продукции, росту производительности труда, экономическому развитию страны в целом. Свободный международный обмен товаром предоставляет потребителям возможность выбора или более широкого ассортимента товаров, пополнение полок магазинов самыми различными товарами, произведенными в самых различных странах земного шара.</w:t>
      </w:r>
    </w:p>
    <w:p w:rsidR="00693F38" w:rsidRDefault="00693F38">
      <w:pPr>
        <w:pStyle w:val="a3"/>
        <w:ind w:firstLine="567"/>
        <w:rPr>
          <w:color w:val="000080"/>
        </w:rPr>
      </w:pPr>
      <w:r>
        <w:rPr>
          <w:color w:val="000080"/>
        </w:rPr>
        <w:t>Таким образом, можно констатировать, что международная торговля жизненно необходима для всех без исключения стран, в том числе и для наиболее развитых.</w:t>
      </w:r>
    </w:p>
    <w:p w:rsidR="00693F38" w:rsidRDefault="00693F38">
      <w:pPr>
        <w:pStyle w:val="a3"/>
        <w:ind w:firstLine="567"/>
        <w:rPr>
          <w:color w:val="000080"/>
        </w:rPr>
      </w:pPr>
      <w:r>
        <w:rPr>
          <w:color w:val="000080"/>
        </w:rPr>
        <w:t>К примеру, даже для такой страны, как США международная торговля жизненно необходима по следующим причинам.</w:t>
      </w:r>
    </w:p>
    <w:p w:rsidR="00693F38" w:rsidRDefault="00693F38">
      <w:pPr>
        <w:pStyle w:val="a3"/>
        <w:ind w:firstLine="567"/>
        <w:rPr>
          <w:color w:val="000080"/>
        </w:rPr>
      </w:pPr>
      <w:r>
        <w:rPr>
          <w:color w:val="000080"/>
        </w:rPr>
        <w:t>1. Абсолютные объемы американской внешней торговли превышают показатели экспорта и импорта любой другой страны.</w:t>
      </w:r>
    </w:p>
    <w:p w:rsidR="00693F38" w:rsidRDefault="00693F38">
      <w:pPr>
        <w:pStyle w:val="a3"/>
        <w:ind w:firstLine="567"/>
        <w:rPr>
          <w:color w:val="000080"/>
        </w:rPr>
      </w:pPr>
      <w:r>
        <w:rPr>
          <w:color w:val="000080"/>
        </w:rPr>
        <w:t>2. По некоторым видам товаров и материалов, которые США не могут или не выгодно производить внутри страны, они зависят от международной торговли.</w:t>
      </w:r>
    </w:p>
    <w:p w:rsidR="00693F38" w:rsidRDefault="00693F38">
      <w:pPr>
        <w:pStyle w:val="a3"/>
        <w:ind w:firstLine="567"/>
        <w:rPr>
          <w:color w:val="000080"/>
        </w:rPr>
      </w:pPr>
      <w:r>
        <w:rPr>
          <w:color w:val="000080"/>
        </w:rPr>
        <w:t>3. Изменение в объеме экспорта и импорта могут оказать значительное влияние на уровень внутреннего производства и доходы.</w:t>
      </w:r>
    </w:p>
    <w:p w:rsidR="00693F38" w:rsidRDefault="00693F38">
      <w:pPr>
        <w:pStyle w:val="a3"/>
        <w:ind w:firstLine="567"/>
      </w:pPr>
      <w:r>
        <w:t>Объем чистого экспорта является важным экономическим показателем эффективности внешнеэкономической деятельности стран. Величина чистого экспорта представляет собой разницу между стоимостью экспорта страны и ее импорта. Эта величина оказывает многостороннее влияние на уровень национального дохода, таким образом, как влияние колебания различных видов внутренних расходов. Даже незначительные изменения в объеме импорта и экспорта могут вызвать серьезные сдвиги в уровнях доходов, занятости и уровня цен внутри страны.</w:t>
      </w:r>
    </w:p>
    <w:p w:rsidR="00693F38" w:rsidRDefault="00693F38">
      <w:pPr>
        <w:pStyle w:val="a3"/>
        <w:ind w:firstLine="567"/>
      </w:pPr>
      <w:r>
        <w:t>Международная торговля имеет несравненно важное значение для тех стран, у которых доля товарного экспорта в ВНП превышает 10%. Например, для Нидерландов она составляет 45%, для ФРГ — 27% от ВНП.</w:t>
      </w:r>
    </w:p>
    <w:p w:rsidR="00693F38" w:rsidRDefault="00693F38">
      <w:pPr>
        <w:pStyle w:val="a3"/>
        <w:ind w:firstLine="567"/>
      </w:pPr>
      <w:r>
        <w:t>Представление о структуре внешнеэкономического оборота США дает следующая таблица.</w:t>
      </w:r>
    </w:p>
    <w:p w:rsidR="00693F38" w:rsidRDefault="00693F38">
      <w:pPr>
        <w:pStyle w:val="a3"/>
        <w:ind w:firstLine="567"/>
        <w:jc w:val="center"/>
        <w:rPr>
          <w:b/>
          <w:bCs/>
        </w:rPr>
      </w:pPr>
      <w:r>
        <w:rPr>
          <w:b/>
          <w:bCs/>
        </w:rPr>
        <w:t>Таблица 1. Внешняя торговля в экономике США в 1961-1988 гг. (млрд. дол.)</w:t>
      </w:r>
    </w:p>
    <w:tbl>
      <w:tblPr>
        <w:tblW w:w="1098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738"/>
        <w:gridCol w:w="1318"/>
        <w:gridCol w:w="1427"/>
        <w:gridCol w:w="1318"/>
        <w:gridCol w:w="1427"/>
        <w:gridCol w:w="1318"/>
        <w:gridCol w:w="1434"/>
      </w:tblGrid>
      <w:tr w:rsidR="00693F38" w:rsidRPr="00693F38">
        <w:trPr>
          <w:tblCellSpacing w:w="7" w:type="dxa"/>
        </w:trPr>
        <w:tc>
          <w:tcPr>
            <w:tcW w:w="1250" w:type="pct"/>
            <w:tcBorders>
              <w:top w:val="outset" w:sz="6" w:space="0" w:color="auto"/>
              <w:bottom w:val="outset" w:sz="6" w:space="0" w:color="auto"/>
              <w:right w:val="outset" w:sz="6" w:space="0" w:color="auto"/>
            </w:tcBorders>
          </w:tcPr>
          <w:p w:rsidR="00693F38" w:rsidRPr="00693F38" w:rsidRDefault="00693F38">
            <w:pPr>
              <w:pStyle w:val="a3"/>
              <w:ind w:firstLine="567"/>
            </w:pPr>
            <w:r w:rsidRPr="00693F38">
              <w:t> </w:t>
            </w:r>
          </w:p>
        </w:tc>
        <w:tc>
          <w:tcPr>
            <w:tcW w:w="1250" w:type="pct"/>
            <w:gridSpan w:val="2"/>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1960</w:t>
            </w:r>
          </w:p>
        </w:tc>
        <w:tc>
          <w:tcPr>
            <w:tcW w:w="1250" w:type="pct"/>
            <w:gridSpan w:val="2"/>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1970</w:t>
            </w:r>
          </w:p>
        </w:tc>
        <w:tc>
          <w:tcPr>
            <w:tcW w:w="1250" w:type="pct"/>
            <w:gridSpan w:val="2"/>
            <w:tcBorders>
              <w:top w:val="outset" w:sz="6" w:space="0" w:color="auto"/>
              <w:left w:val="outset" w:sz="6" w:space="0" w:color="auto"/>
              <w:bottom w:val="outset" w:sz="6" w:space="0" w:color="auto"/>
            </w:tcBorders>
          </w:tcPr>
          <w:p w:rsidR="00693F38" w:rsidRPr="00693F38" w:rsidRDefault="00693F38">
            <w:pPr>
              <w:pStyle w:val="a3"/>
              <w:ind w:firstLine="567"/>
              <w:jc w:val="center"/>
            </w:pPr>
            <w:r w:rsidRPr="00693F38">
              <w:t>1988</w:t>
            </w:r>
          </w:p>
        </w:tc>
      </w:tr>
      <w:tr w:rsidR="00693F38" w:rsidRPr="00693F38">
        <w:trPr>
          <w:tblCellSpacing w:w="7" w:type="dxa"/>
        </w:trPr>
        <w:tc>
          <w:tcPr>
            <w:tcW w:w="1250" w:type="pct"/>
            <w:tcBorders>
              <w:top w:val="outset" w:sz="6" w:space="0" w:color="auto"/>
              <w:bottom w:val="outset" w:sz="6" w:space="0" w:color="auto"/>
              <w:right w:val="outset" w:sz="6" w:space="0" w:color="auto"/>
            </w:tcBorders>
          </w:tcPr>
          <w:p w:rsidR="00693F38" w:rsidRPr="00693F38" w:rsidRDefault="00693F38">
            <w:pPr>
              <w:pStyle w:val="a3"/>
              <w:ind w:firstLine="567"/>
            </w:pPr>
            <w:r w:rsidRPr="00693F38">
              <w:t> </w:t>
            </w:r>
          </w:p>
        </w:tc>
        <w:tc>
          <w:tcPr>
            <w:tcW w:w="1250" w:type="pct"/>
            <w:gridSpan w:val="2"/>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Объем дол. в ВНП %</w:t>
            </w:r>
          </w:p>
        </w:tc>
        <w:tc>
          <w:tcPr>
            <w:tcW w:w="1250" w:type="pct"/>
            <w:gridSpan w:val="2"/>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Объем дол. в ВНП %</w:t>
            </w:r>
          </w:p>
        </w:tc>
        <w:tc>
          <w:tcPr>
            <w:tcW w:w="1250" w:type="pct"/>
            <w:gridSpan w:val="2"/>
            <w:tcBorders>
              <w:top w:val="outset" w:sz="6" w:space="0" w:color="auto"/>
              <w:left w:val="outset" w:sz="6" w:space="0" w:color="auto"/>
              <w:bottom w:val="outset" w:sz="6" w:space="0" w:color="auto"/>
            </w:tcBorders>
          </w:tcPr>
          <w:p w:rsidR="00693F38" w:rsidRPr="00693F38" w:rsidRDefault="00693F38">
            <w:pPr>
              <w:pStyle w:val="a3"/>
              <w:ind w:firstLine="567"/>
              <w:jc w:val="center"/>
            </w:pPr>
            <w:r w:rsidRPr="00693F38">
              <w:t>Объем дол. в ВНП %</w:t>
            </w:r>
          </w:p>
        </w:tc>
      </w:tr>
      <w:tr w:rsidR="00693F38" w:rsidRPr="00693F38">
        <w:trPr>
          <w:tblCellSpacing w:w="7" w:type="dxa"/>
        </w:trPr>
        <w:tc>
          <w:tcPr>
            <w:tcW w:w="1250" w:type="pct"/>
            <w:tcBorders>
              <w:top w:val="outset" w:sz="6" w:space="0" w:color="auto"/>
              <w:bottom w:val="outset" w:sz="6" w:space="0" w:color="auto"/>
              <w:right w:val="outset" w:sz="6" w:space="0" w:color="auto"/>
            </w:tcBorders>
          </w:tcPr>
          <w:p w:rsidR="00693F38" w:rsidRPr="00693F38" w:rsidRDefault="00693F38">
            <w:pPr>
              <w:pStyle w:val="a3"/>
              <w:ind w:firstLine="567"/>
              <w:jc w:val="center"/>
            </w:pPr>
            <w:r w:rsidRPr="00693F38">
              <w:t>Экспорт товаров и услуг</w:t>
            </w:r>
          </w:p>
        </w:tc>
        <w:tc>
          <w:tcPr>
            <w:tcW w:w="60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29,9</w:t>
            </w:r>
          </w:p>
        </w:tc>
        <w:tc>
          <w:tcPr>
            <w:tcW w:w="65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5,8</w:t>
            </w:r>
          </w:p>
        </w:tc>
        <w:tc>
          <w:tcPr>
            <w:tcW w:w="60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68,9</w:t>
            </w:r>
          </w:p>
        </w:tc>
        <w:tc>
          <w:tcPr>
            <w:tcW w:w="65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6,8</w:t>
            </w:r>
          </w:p>
        </w:tc>
        <w:tc>
          <w:tcPr>
            <w:tcW w:w="60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518,7</w:t>
            </w:r>
          </w:p>
        </w:tc>
        <w:tc>
          <w:tcPr>
            <w:tcW w:w="650" w:type="pct"/>
            <w:tcBorders>
              <w:top w:val="outset" w:sz="6" w:space="0" w:color="auto"/>
              <w:left w:val="outset" w:sz="6" w:space="0" w:color="auto"/>
              <w:bottom w:val="outset" w:sz="6" w:space="0" w:color="auto"/>
            </w:tcBorders>
          </w:tcPr>
          <w:p w:rsidR="00693F38" w:rsidRPr="00693F38" w:rsidRDefault="00693F38">
            <w:pPr>
              <w:pStyle w:val="a3"/>
              <w:ind w:firstLine="567"/>
              <w:jc w:val="center"/>
            </w:pPr>
            <w:r w:rsidRPr="00693F38">
              <w:t>10,7</w:t>
            </w:r>
          </w:p>
        </w:tc>
      </w:tr>
      <w:tr w:rsidR="00693F38" w:rsidRPr="00693F38">
        <w:trPr>
          <w:tblCellSpacing w:w="7" w:type="dxa"/>
        </w:trPr>
        <w:tc>
          <w:tcPr>
            <w:tcW w:w="1250" w:type="pct"/>
            <w:tcBorders>
              <w:top w:val="outset" w:sz="6" w:space="0" w:color="auto"/>
              <w:bottom w:val="outset" w:sz="6" w:space="0" w:color="auto"/>
              <w:right w:val="outset" w:sz="6" w:space="0" w:color="auto"/>
            </w:tcBorders>
          </w:tcPr>
          <w:p w:rsidR="00693F38" w:rsidRPr="00693F38" w:rsidRDefault="00693F38">
            <w:pPr>
              <w:pStyle w:val="a3"/>
              <w:ind w:firstLine="567"/>
              <w:jc w:val="center"/>
            </w:pPr>
            <w:r w:rsidRPr="00693F38">
              <w:t>Импорт товаров и услуг</w:t>
            </w:r>
          </w:p>
        </w:tc>
        <w:tc>
          <w:tcPr>
            <w:tcW w:w="60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24,0</w:t>
            </w:r>
          </w:p>
        </w:tc>
        <w:tc>
          <w:tcPr>
            <w:tcW w:w="65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4,7</w:t>
            </w:r>
          </w:p>
        </w:tc>
        <w:tc>
          <w:tcPr>
            <w:tcW w:w="60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60,5</w:t>
            </w:r>
          </w:p>
        </w:tc>
        <w:tc>
          <w:tcPr>
            <w:tcW w:w="65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6,0</w:t>
            </w:r>
          </w:p>
        </w:tc>
        <w:tc>
          <w:tcPr>
            <w:tcW w:w="60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611,9</w:t>
            </w:r>
          </w:p>
        </w:tc>
        <w:tc>
          <w:tcPr>
            <w:tcW w:w="650" w:type="pct"/>
            <w:tcBorders>
              <w:top w:val="outset" w:sz="6" w:space="0" w:color="auto"/>
              <w:left w:val="outset" w:sz="6" w:space="0" w:color="auto"/>
              <w:bottom w:val="outset" w:sz="6" w:space="0" w:color="auto"/>
            </w:tcBorders>
          </w:tcPr>
          <w:p w:rsidR="00693F38" w:rsidRPr="00693F38" w:rsidRDefault="00693F38">
            <w:pPr>
              <w:pStyle w:val="a3"/>
              <w:ind w:firstLine="567"/>
              <w:jc w:val="center"/>
            </w:pPr>
            <w:r w:rsidRPr="00693F38">
              <w:t>12,6</w:t>
            </w:r>
          </w:p>
        </w:tc>
      </w:tr>
      <w:tr w:rsidR="00693F38" w:rsidRPr="00693F38">
        <w:trPr>
          <w:tblCellSpacing w:w="7" w:type="dxa"/>
        </w:trPr>
        <w:tc>
          <w:tcPr>
            <w:tcW w:w="1250" w:type="pct"/>
            <w:tcBorders>
              <w:top w:val="outset" w:sz="6" w:space="0" w:color="auto"/>
              <w:bottom w:val="outset" w:sz="6" w:space="0" w:color="auto"/>
              <w:right w:val="outset" w:sz="6" w:space="0" w:color="auto"/>
            </w:tcBorders>
          </w:tcPr>
          <w:p w:rsidR="00693F38" w:rsidRPr="00693F38" w:rsidRDefault="00693F38">
            <w:pPr>
              <w:pStyle w:val="a3"/>
              <w:ind w:firstLine="567"/>
              <w:jc w:val="center"/>
            </w:pPr>
            <w:r w:rsidRPr="00693F38">
              <w:t>Чистый экспорт</w:t>
            </w:r>
          </w:p>
        </w:tc>
        <w:tc>
          <w:tcPr>
            <w:tcW w:w="60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5,9</w:t>
            </w:r>
          </w:p>
        </w:tc>
        <w:tc>
          <w:tcPr>
            <w:tcW w:w="65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1,1</w:t>
            </w:r>
          </w:p>
        </w:tc>
        <w:tc>
          <w:tcPr>
            <w:tcW w:w="60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8,4</w:t>
            </w:r>
          </w:p>
        </w:tc>
        <w:tc>
          <w:tcPr>
            <w:tcW w:w="65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0,8</w:t>
            </w:r>
          </w:p>
        </w:tc>
        <w:tc>
          <w:tcPr>
            <w:tcW w:w="600" w:type="pct"/>
            <w:tcBorders>
              <w:top w:val="outset" w:sz="6" w:space="0" w:color="auto"/>
              <w:left w:val="outset" w:sz="6" w:space="0" w:color="auto"/>
              <w:bottom w:val="outset" w:sz="6" w:space="0" w:color="auto"/>
              <w:right w:val="outset" w:sz="6" w:space="0" w:color="auto"/>
            </w:tcBorders>
          </w:tcPr>
          <w:p w:rsidR="00693F38" w:rsidRPr="00693F38" w:rsidRDefault="00693F38">
            <w:pPr>
              <w:pStyle w:val="a3"/>
              <w:ind w:firstLine="567"/>
              <w:jc w:val="center"/>
            </w:pPr>
            <w:r w:rsidRPr="00693F38">
              <w:t>-93,2</w:t>
            </w:r>
          </w:p>
        </w:tc>
        <w:tc>
          <w:tcPr>
            <w:tcW w:w="650" w:type="pct"/>
            <w:tcBorders>
              <w:top w:val="outset" w:sz="6" w:space="0" w:color="auto"/>
              <w:left w:val="outset" w:sz="6" w:space="0" w:color="auto"/>
              <w:bottom w:val="outset" w:sz="6" w:space="0" w:color="auto"/>
            </w:tcBorders>
          </w:tcPr>
          <w:p w:rsidR="00693F38" w:rsidRPr="00693F38" w:rsidRDefault="00693F38">
            <w:pPr>
              <w:pStyle w:val="a3"/>
              <w:ind w:firstLine="567"/>
              <w:jc w:val="center"/>
            </w:pPr>
            <w:r w:rsidRPr="00693F38">
              <w:t>1,9</w:t>
            </w:r>
          </w:p>
        </w:tc>
      </w:tr>
    </w:tbl>
    <w:p w:rsidR="00693F38" w:rsidRDefault="00693F38">
      <w:pPr>
        <w:pStyle w:val="a3"/>
        <w:ind w:firstLine="567"/>
      </w:pPr>
      <w:r>
        <w:t>Между экспортом и импортом с 1960 по 1988 годами разница колеблется между одним и двумя процентами ВНП.</w:t>
      </w:r>
    </w:p>
    <w:p w:rsidR="00693F38" w:rsidRDefault="00693F38">
      <w:pPr>
        <w:pStyle w:val="a3"/>
        <w:ind w:firstLine="567"/>
      </w:pPr>
      <w:r>
        <w:t>Международная и внутренняя торговля имеют свои специфические отличия. Эти отличия заключаются в том, что экономические ресурсы распределяются между странами неравномерно, каждая страна в своей внешнеэкономической деятельности использует национальную валюту. Международная торговля больше всего подвержена политическому контролю со стороны различных ветвей власти страны.</w:t>
      </w:r>
    </w:p>
    <w:p w:rsidR="00693F38" w:rsidRDefault="00693F38">
      <w:pPr>
        <w:pStyle w:val="a3"/>
        <w:ind w:firstLine="567"/>
      </w:pPr>
      <w:r>
        <w:t>1) Кэмпбелл Р. Маккониелл, Стенли Л. Брю. Экономика М. Менеджер 1993, с 149.</w:t>
      </w:r>
    </w:p>
    <w:p w:rsidR="00693F38" w:rsidRDefault="00693F38">
      <w:pPr>
        <w:pStyle w:val="a3"/>
        <w:ind w:firstLine="567"/>
        <w:jc w:val="center"/>
        <w:rPr>
          <w:b/>
          <w:bCs/>
        </w:rPr>
      </w:pPr>
      <w:r>
        <w:rPr>
          <w:b/>
          <w:bCs/>
        </w:rPr>
        <w:t>2. Платежный баланс, валютные курсы и дефицит внешней торговли</w:t>
      </w:r>
    </w:p>
    <w:p w:rsidR="00693F38" w:rsidRDefault="00693F38">
      <w:pPr>
        <w:pStyle w:val="a3"/>
        <w:ind w:firstLine="567"/>
      </w:pPr>
      <w:r>
        <w:t>Основной чертой, отличающей международные платежи от внутренних, является необходимость использовать двух разных национальные валюты, что решается с помощью валютных международных рынков, которые функционируют в ведущих странах мира (в таких городах, как: Нью-Йорк, Лондон, Цюрих, Париж, Гонконг, Токио и др.).</w:t>
      </w:r>
    </w:p>
    <w:p w:rsidR="00693F38" w:rsidRDefault="00693F38">
      <w:pPr>
        <w:pStyle w:val="a3"/>
        <w:ind w:firstLine="567"/>
      </w:pPr>
      <w:r>
        <w:t>Каждая страна заинтересована в том, чтобы иметь иностранную валюту, с помощью которой она могла бы беспрепятственно рассчитываться за импортные товары. Американский экспорт создает иностранный спрос на доллары и формирует соответствующее предложение иностранной валюты, предоставляемой в распоряжение американцев. Напротив, американский импорт создает в то же время спрос на иностранную валюту и формирует предложения долларов для иностранцев. Экспорт страны позволяет зарабатывать иностранную валюту, необходимую для оплаты импорта.</w:t>
      </w:r>
    </w:p>
    <w:p w:rsidR="00693F38" w:rsidRDefault="00693F38">
      <w:pPr>
        <w:pStyle w:val="a3"/>
        <w:ind w:firstLine="567"/>
      </w:pPr>
      <w:r>
        <w:t>Все международные и финансовые операции между данной страной и странами, с которыми поддерживаются торговые отношения, фиксируются в платежном или так называемом торговом балансе.</w:t>
      </w:r>
    </w:p>
    <w:p w:rsidR="00693F38" w:rsidRDefault="00693F38">
      <w:pPr>
        <w:pStyle w:val="a3"/>
        <w:ind w:firstLine="567"/>
      </w:pPr>
      <w:r>
        <w:t>Платежный баланс отражает соотношение экспорта и импорта товаров и услуг. Текущий баланс включает не только операции по торговле товарами и услугами, но и чистый доход от инвестиций и чистые переводы.</w:t>
      </w:r>
    </w:p>
    <w:p w:rsidR="00693F38" w:rsidRDefault="00693F38">
      <w:pPr>
        <w:pStyle w:val="a3"/>
        <w:ind w:firstLine="567"/>
      </w:pPr>
      <w:r>
        <w:t>Центральные банки различных стран имеют большое количество иностранной валюты, называемой официальными резервами, которые используются для преодоления несбалансированности платежного баланса по текущим операциям и движению капиталов.</w:t>
      </w:r>
    </w:p>
    <w:p w:rsidR="00693F38" w:rsidRDefault="00693F38">
      <w:pPr>
        <w:pStyle w:val="a3"/>
        <w:ind w:firstLine="567"/>
      </w:pPr>
      <w:r>
        <w:t>Платежный баланс содержит следующие структуры счетов по различным операциям:</w:t>
      </w:r>
    </w:p>
    <w:p w:rsidR="00693F38" w:rsidRDefault="00693F38">
      <w:pPr>
        <w:pStyle w:val="a3"/>
        <w:ind w:firstLine="567"/>
        <w:rPr>
          <w:b/>
          <w:bCs/>
        </w:rPr>
      </w:pPr>
      <w:r>
        <w:rPr>
          <w:b/>
          <w:bCs/>
          <w:color w:val="000080"/>
        </w:rPr>
        <w:t>I. Счет текущих операций (в млрд. дол. или другой валюте)</w:t>
      </w:r>
    </w:p>
    <w:p w:rsidR="00693F38" w:rsidRDefault="00693F38">
      <w:pPr>
        <w:pStyle w:val="a3"/>
        <w:ind w:firstLine="567"/>
        <w:rPr>
          <w:color w:val="000080"/>
        </w:rPr>
      </w:pPr>
      <w:r>
        <w:rPr>
          <w:color w:val="000080"/>
        </w:rPr>
        <w:t>1. Товарный экспорт страны (США или другой страны).</w:t>
      </w:r>
    </w:p>
    <w:p w:rsidR="00693F38" w:rsidRDefault="00693F38">
      <w:pPr>
        <w:pStyle w:val="a3"/>
        <w:ind w:firstLine="567"/>
        <w:rPr>
          <w:color w:val="000080"/>
        </w:rPr>
      </w:pPr>
      <w:r>
        <w:rPr>
          <w:color w:val="000080"/>
        </w:rPr>
        <w:t>2. Товарный импорт.</w:t>
      </w:r>
    </w:p>
    <w:p w:rsidR="00693F38" w:rsidRDefault="00693F38">
      <w:pPr>
        <w:pStyle w:val="a3"/>
        <w:ind w:firstLine="567"/>
        <w:rPr>
          <w:color w:val="000080"/>
        </w:rPr>
      </w:pPr>
      <w:r>
        <w:rPr>
          <w:color w:val="000080"/>
        </w:rPr>
        <w:t>3. Сальдо баланса внешней торговли.</w:t>
      </w:r>
    </w:p>
    <w:p w:rsidR="00693F38" w:rsidRDefault="00693F38">
      <w:pPr>
        <w:pStyle w:val="a3"/>
        <w:ind w:firstLine="567"/>
        <w:rPr>
          <w:color w:val="000080"/>
        </w:rPr>
      </w:pPr>
      <w:r>
        <w:rPr>
          <w:color w:val="000080"/>
        </w:rPr>
        <w:t>4. Экспорт услуг из страны.</w:t>
      </w:r>
    </w:p>
    <w:p w:rsidR="00693F38" w:rsidRDefault="00693F38">
      <w:pPr>
        <w:pStyle w:val="a3"/>
        <w:ind w:firstLine="567"/>
        <w:rPr>
          <w:color w:val="000080"/>
        </w:rPr>
      </w:pPr>
      <w:r>
        <w:rPr>
          <w:color w:val="000080"/>
        </w:rPr>
        <w:t>5. Импорт услуг в страну.</w:t>
      </w:r>
    </w:p>
    <w:p w:rsidR="00693F38" w:rsidRDefault="00693F38">
      <w:pPr>
        <w:pStyle w:val="a3"/>
        <w:ind w:firstLine="567"/>
        <w:rPr>
          <w:color w:val="000080"/>
        </w:rPr>
      </w:pPr>
      <w:r>
        <w:rPr>
          <w:color w:val="000080"/>
        </w:rPr>
        <w:t>6. Сальдо баланса товаров и услуг.</w:t>
      </w:r>
    </w:p>
    <w:p w:rsidR="00693F38" w:rsidRDefault="00693F38">
      <w:pPr>
        <w:pStyle w:val="a3"/>
        <w:ind w:firstLine="567"/>
        <w:rPr>
          <w:color w:val="000080"/>
        </w:rPr>
      </w:pPr>
      <w:r>
        <w:rPr>
          <w:color w:val="000080"/>
        </w:rPr>
        <w:t>7. Чистые доходы от инвестиций.</w:t>
      </w:r>
    </w:p>
    <w:p w:rsidR="00693F38" w:rsidRDefault="00693F38">
      <w:pPr>
        <w:pStyle w:val="a3"/>
        <w:ind w:firstLine="567"/>
        <w:rPr>
          <w:color w:val="000080"/>
        </w:rPr>
      </w:pPr>
      <w:r>
        <w:rPr>
          <w:color w:val="000080"/>
        </w:rPr>
        <w:t>8. Чистые денежные переводы.</w:t>
      </w:r>
    </w:p>
    <w:p w:rsidR="00693F38" w:rsidRDefault="00693F38">
      <w:pPr>
        <w:pStyle w:val="a3"/>
        <w:ind w:firstLine="567"/>
        <w:rPr>
          <w:color w:val="000080"/>
        </w:rPr>
      </w:pPr>
      <w:r>
        <w:rPr>
          <w:color w:val="000080"/>
        </w:rPr>
        <w:t>9. Сальдо баланса по текущим операциям.</w:t>
      </w:r>
    </w:p>
    <w:p w:rsidR="00693F38" w:rsidRDefault="00693F38">
      <w:pPr>
        <w:pStyle w:val="a3"/>
        <w:ind w:firstLine="567"/>
        <w:rPr>
          <w:b/>
          <w:bCs/>
          <w:color w:val="000080"/>
        </w:rPr>
      </w:pPr>
      <w:r>
        <w:rPr>
          <w:b/>
          <w:bCs/>
          <w:color w:val="000080"/>
        </w:rPr>
        <w:t>II. Счет движения капиталов</w:t>
      </w:r>
    </w:p>
    <w:p w:rsidR="00693F38" w:rsidRDefault="00693F38">
      <w:pPr>
        <w:pStyle w:val="a3"/>
        <w:ind w:firstLine="567"/>
        <w:rPr>
          <w:color w:val="000080"/>
        </w:rPr>
      </w:pPr>
      <w:r>
        <w:rPr>
          <w:color w:val="000080"/>
        </w:rPr>
        <w:t>10. Приток капиталов в страну.</w:t>
      </w:r>
    </w:p>
    <w:p w:rsidR="00693F38" w:rsidRDefault="00693F38">
      <w:pPr>
        <w:pStyle w:val="a3"/>
        <w:ind w:firstLine="567"/>
        <w:rPr>
          <w:color w:val="000080"/>
        </w:rPr>
      </w:pPr>
      <w:r>
        <w:rPr>
          <w:color w:val="000080"/>
        </w:rPr>
        <w:t>11. Отток капиталов из страны.</w:t>
      </w:r>
    </w:p>
    <w:p w:rsidR="00693F38" w:rsidRDefault="00693F38">
      <w:pPr>
        <w:pStyle w:val="a3"/>
        <w:ind w:firstLine="567"/>
        <w:rPr>
          <w:color w:val="000080"/>
        </w:rPr>
      </w:pPr>
      <w:r>
        <w:rPr>
          <w:color w:val="000080"/>
        </w:rPr>
        <w:t>12. Баланс движения капиталов.</w:t>
      </w:r>
    </w:p>
    <w:p w:rsidR="00693F38" w:rsidRDefault="00693F38">
      <w:pPr>
        <w:pStyle w:val="a3"/>
        <w:ind w:firstLine="567"/>
        <w:rPr>
          <w:color w:val="000080"/>
        </w:rPr>
      </w:pPr>
      <w:r>
        <w:rPr>
          <w:color w:val="000080"/>
        </w:rPr>
        <w:t>13. Баланс по текущим операциям и движение капиталов.</w:t>
      </w:r>
    </w:p>
    <w:p w:rsidR="00693F38" w:rsidRDefault="00693F38">
      <w:pPr>
        <w:pStyle w:val="a3"/>
        <w:ind w:firstLine="567"/>
        <w:rPr>
          <w:color w:val="000080"/>
        </w:rPr>
      </w:pPr>
      <w:r>
        <w:rPr>
          <w:color w:val="000080"/>
        </w:rPr>
        <w:t>14. Официальные резервы.</w:t>
      </w:r>
    </w:p>
    <w:p w:rsidR="00693F38" w:rsidRDefault="00693F38">
      <w:pPr>
        <w:pStyle w:val="a3"/>
        <w:ind w:firstLine="567"/>
      </w:pPr>
      <w:r>
        <w:t>Масштабы торгового оборота, устойчивость дефицита или актива платежного баланса зависят от применяемой системы валютных курсов. Существуют два варианта системы валютных курсов:</w:t>
      </w:r>
    </w:p>
    <w:p w:rsidR="00693F38" w:rsidRDefault="00693F38">
      <w:pPr>
        <w:pStyle w:val="a3"/>
        <w:numPr>
          <w:ilvl w:val="0"/>
          <w:numId w:val="1"/>
        </w:numPr>
        <w:ind w:left="0" w:firstLine="567"/>
        <w:rPr>
          <w:color w:val="000080"/>
        </w:rPr>
      </w:pPr>
      <w:r>
        <w:rPr>
          <w:color w:val="000080"/>
        </w:rPr>
        <w:t xml:space="preserve">система гибких или плавающих валютных курсов, при которой курс обмена национальных валют друг на друга определяется спросом и предложениями; </w:t>
      </w:r>
    </w:p>
    <w:p w:rsidR="00693F38" w:rsidRDefault="00693F38">
      <w:pPr>
        <w:pStyle w:val="a3"/>
        <w:numPr>
          <w:ilvl w:val="0"/>
          <w:numId w:val="2"/>
        </w:numPr>
        <w:ind w:left="0" w:firstLine="567"/>
        <w:rPr>
          <w:color w:val="000080"/>
        </w:rPr>
      </w:pPr>
      <w:r>
        <w:rPr>
          <w:color w:val="000080"/>
        </w:rPr>
        <w:t xml:space="preserve">система жесткого фиксирования валютных курсов, при которой всякое изменение валютных курсов возможно только по решению правительства. </w:t>
      </w:r>
    </w:p>
    <w:p w:rsidR="00693F38" w:rsidRDefault="00693F38">
      <w:pPr>
        <w:pStyle w:val="a3"/>
        <w:ind w:firstLine="567"/>
        <w:rPr>
          <w:color w:val="000080"/>
        </w:rPr>
      </w:pPr>
      <w:r>
        <w:rPr>
          <w:color w:val="000080"/>
        </w:rPr>
        <w:t>Каждая из названных систем формирования валютного курса имеет свои недостатки и достоинства.</w:t>
      </w:r>
    </w:p>
    <w:p w:rsidR="00693F38" w:rsidRDefault="00693F38">
      <w:pPr>
        <w:pStyle w:val="a3"/>
        <w:ind w:firstLine="567"/>
        <w:rPr>
          <w:color w:val="000080"/>
        </w:rPr>
      </w:pPr>
      <w:r>
        <w:rPr>
          <w:color w:val="000080"/>
        </w:rPr>
        <w:t>Свободно плавающие валютные курсы основываются на законном спросе и предложении. Факторами, которые формируют эти законы, следуют назвать следующие:</w:t>
      </w:r>
    </w:p>
    <w:p w:rsidR="00693F38" w:rsidRDefault="00693F38">
      <w:pPr>
        <w:pStyle w:val="a3"/>
        <w:ind w:firstLine="567"/>
      </w:pPr>
      <w:r>
        <w:rPr>
          <w:color w:val="000080"/>
        </w:rPr>
        <w:t xml:space="preserve">1. </w:t>
      </w:r>
      <w:r>
        <w:rPr>
          <w:color w:val="000080"/>
          <w:u w:val="single"/>
        </w:rPr>
        <w:t>Изменение во вкусах потребителей</w:t>
      </w:r>
      <w:r>
        <w:rPr>
          <w:color w:val="000080"/>
        </w:rPr>
        <w:t>. В самом деле, любые изменения во вкусах потребителей, их приобщение к использованию товаров этой страны изменяет спрос на валюту этой страны, что ведет к изменению ее валютного курса.</w:t>
      </w:r>
    </w:p>
    <w:p w:rsidR="00693F38" w:rsidRDefault="00693F38">
      <w:pPr>
        <w:pStyle w:val="a3"/>
        <w:ind w:firstLine="567"/>
      </w:pPr>
      <w:r>
        <w:rPr>
          <w:color w:val="000080"/>
        </w:rPr>
        <w:t xml:space="preserve">2. </w:t>
      </w:r>
      <w:r>
        <w:rPr>
          <w:color w:val="000080"/>
          <w:u w:val="single"/>
        </w:rPr>
        <w:t>Изменения в доходах</w:t>
      </w:r>
      <w:r>
        <w:rPr>
          <w:color w:val="000080"/>
        </w:rPr>
        <w:t>. Если рост национального дохода одной страны обгоняет рост этого показателя в других странах, то, к примеру, американский импорт британских товаров будет расти, а цена денежной английской единицы, фунта будет повышаться, что означает некоторое обесценивание доллара.</w:t>
      </w:r>
    </w:p>
    <w:p w:rsidR="00693F38" w:rsidRDefault="00693F38">
      <w:pPr>
        <w:pStyle w:val="a3"/>
        <w:ind w:firstLine="567"/>
      </w:pPr>
      <w:r>
        <w:rPr>
          <w:color w:val="000080"/>
        </w:rPr>
        <w:t xml:space="preserve">3. </w:t>
      </w:r>
      <w:r>
        <w:rPr>
          <w:color w:val="000080"/>
          <w:u w:val="single"/>
        </w:rPr>
        <w:t>Относительные изменение цен</w:t>
      </w:r>
      <w:r>
        <w:rPr>
          <w:color w:val="000080"/>
        </w:rPr>
        <w:t>. Если уровень внутренних цен в США будет расти, а в Англии останется неизменным, то американские потребители будут склонны покупать относительно дешевые английские товары, тем самым увеличивая спрос на английскую валюту, чем будет способствовать росту курса английского фунта стерлинга.</w:t>
      </w:r>
    </w:p>
    <w:p w:rsidR="00693F38" w:rsidRDefault="00693F38">
      <w:pPr>
        <w:pStyle w:val="a3"/>
        <w:ind w:firstLine="567"/>
      </w:pPr>
      <w:r>
        <w:rPr>
          <w:color w:val="000080"/>
        </w:rPr>
        <w:t xml:space="preserve">4. </w:t>
      </w:r>
      <w:r>
        <w:rPr>
          <w:color w:val="000080"/>
          <w:u w:val="single"/>
        </w:rPr>
        <w:t>Относительные реальные процентные ставки</w:t>
      </w:r>
      <w:r>
        <w:rPr>
          <w:color w:val="000080"/>
        </w:rPr>
        <w:t>. Если в какой-то стране увеличивается процентная ставка, то для держателя денежных средств выгодно поместить свои средства в этой стране. Такое положение ведет к стремлению приобрести валюту данной страны, чтобы потом приобрести соответствующие финансовые активы данной страны. Все это повышает стоимость валюты страны, где существуют дорогие деньги. К примеру, в конце 70-х — начале 80-х годов процентные ставки в США поднялись выше, чем в других странах. Вскоре частные лица и фирмы других стран убедились, что в США инвестиционный климат более привлекательный, чем в какой-либо другой стране. Это увеличение спроса на американские финансовые активы означало расширение спроса на доллар и расширение предложения на другие национальные валюты.</w:t>
      </w:r>
    </w:p>
    <w:p w:rsidR="00693F38" w:rsidRDefault="00693F38">
      <w:pPr>
        <w:pStyle w:val="a3"/>
        <w:ind w:firstLine="567"/>
      </w:pPr>
      <w:r>
        <w:rPr>
          <w:color w:val="000080"/>
        </w:rPr>
        <w:t xml:space="preserve">5. </w:t>
      </w:r>
      <w:r>
        <w:rPr>
          <w:color w:val="000080"/>
          <w:u w:val="single"/>
        </w:rPr>
        <w:t>Инфляция</w:t>
      </w:r>
      <w:r>
        <w:rPr>
          <w:color w:val="000080"/>
        </w:rPr>
        <w:t>. Чрезмерное наполнение каналов денежного обращения необеспеченной массой товаров ведет к обесценению денег, что в свою очередь обесценивает валютный курс данной страны.</w:t>
      </w:r>
    </w:p>
    <w:p w:rsidR="00693F38" w:rsidRDefault="00693F38">
      <w:pPr>
        <w:pStyle w:val="a3"/>
        <w:ind w:firstLine="567"/>
        <w:rPr>
          <w:color w:val="000080"/>
        </w:rPr>
      </w:pPr>
      <w:r>
        <w:rPr>
          <w:color w:val="000080"/>
        </w:rPr>
        <w:t>Система гибких валютных курсов имеет ряд серьезных недостатков в своей основе. Свободное колебание валютных курсов могут оказать дестабилизирующее влияние на внутреннюю экономику, если под воздействием внешних факторов, таких как международный кризис фондовых рынков, может спровоцировать отток капиталов из данной страны, что обесценит местную национальную валюту. Примером такого положения дел мы имеем применительно к событиям 97/98 гг. в России, Японии, Юго-Восточной Азии.</w:t>
      </w:r>
    </w:p>
    <w:p w:rsidR="00693F38" w:rsidRDefault="00693F38">
      <w:pPr>
        <w:pStyle w:val="a3"/>
        <w:ind w:firstLine="567"/>
      </w:pPr>
      <w:r>
        <w:t>Сторонники системы фиксирования валютных курсов считают, что ее использование уменьшает риск и неопределенность, связанные с международной торговлей и финансами. Считается, что с помощью фиксирования валютных курсов можно более надежно прогнозировать развитие международной торговли и финансовых операций между странами. Поддержание фиксированных валютных курсов требует наличия в странах соответствующих валютных резервов для покрытия периодически возникающих проблем платежного баланса. Если резервы недостаточны, их необходимо создавать или за счет ведения более целенаправленной внешней торговли или за счет заимствования валютных ресурсов других стран.</w:t>
      </w:r>
    </w:p>
    <w:p w:rsidR="00693F38" w:rsidRDefault="00693F38">
      <w:pPr>
        <w:pStyle w:val="a3"/>
        <w:ind w:firstLine="567"/>
      </w:pPr>
      <w:r>
        <w:t>Эффективность и целенаправленность внешней торговли достигается ценой больших усилий по преодолению множества препятствий, стоящих на пути развития свободной торговли.</w:t>
      </w:r>
    </w:p>
    <w:p w:rsidR="00693F38" w:rsidRDefault="00693F38">
      <w:pPr>
        <w:pStyle w:val="a3"/>
        <w:ind w:firstLine="567"/>
        <w:rPr>
          <w:color w:val="000080"/>
        </w:rPr>
      </w:pPr>
      <w:r>
        <w:rPr>
          <w:color w:val="000080"/>
        </w:rPr>
        <w:t>К числу таких препятствий следует отнести следующие: пошлины, импортные квоты, нетарифные барьеры.</w:t>
      </w:r>
    </w:p>
    <w:p w:rsidR="00693F38" w:rsidRDefault="00693F38">
      <w:pPr>
        <w:pStyle w:val="a3"/>
        <w:ind w:firstLine="567"/>
      </w:pPr>
      <w:r>
        <w:t>Пошлины представляют собой акцизные налоги на импортные товары, их роль сводится или к получению доходов, или к защите национальных предпринимателей. Первые налоги называются фискальными пошлинами. Они, как правило, применяются в отношении изделий, которые не производятся внутри страны или производятся, но в недостаточном количестве. Если ставки этой пошлины и не велики, то целью этой пошлины является обеспечение федерального бюджета налоговыми поступлениями.</w:t>
      </w:r>
    </w:p>
    <w:p w:rsidR="00693F38" w:rsidRDefault="00693F38">
      <w:pPr>
        <w:pStyle w:val="a3"/>
        <w:ind w:firstLine="567"/>
      </w:pPr>
      <w:r>
        <w:t>Протекционистские пошлины предназначены для защиты местных предпринимателей от иностранного предпринимателя для защиты местных производителей. Хотя протекционистские пошлины не отличаются высокой ставкой, они тем не менее ставят иностранного производителя в невыгодное положение при торговле на внутреннем рынке. С этой целью используются импортные и нетарифные барьеры. С помощью импортных квот устанавливаются максимальные объемы товаров, которые могут быть импортированы за определенный период времени. Импортные квоты более чем пошлины сдерживают приток товаров в страну, проводящую протекционистскую политику. Установленные квоты запрещают импорт товара сверх определенного количества.</w:t>
      </w:r>
    </w:p>
    <w:p w:rsidR="00693F38" w:rsidRDefault="00693F38">
      <w:pPr>
        <w:pStyle w:val="a3"/>
        <w:ind w:firstLine="567"/>
      </w:pPr>
      <w:r>
        <w:t>Нетарифные барьеры. Под нетарифными барьерами понимается система лицензирования, при которой допускается к ввозу только такие товары, которые соответствуют установленному стандарту.</w:t>
      </w:r>
    </w:p>
    <w:p w:rsidR="00693F38" w:rsidRDefault="00693F38">
      <w:pPr>
        <w:pStyle w:val="a3"/>
        <w:ind w:firstLine="567"/>
      </w:pPr>
      <w:r>
        <w:t>Защитные пошлины приводят к повышению цен на ввозимые товары и снижают объемы реализуемого товара. Местные производители от такой политики получают определенный выигрыш.</w:t>
      </w:r>
    </w:p>
    <w:p w:rsidR="00693F38" w:rsidRDefault="00693F38">
      <w:pPr>
        <w:pStyle w:val="a3"/>
        <w:ind w:firstLine="567"/>
      </w:pPr>
      <w:r>
        <w:t>Анализируя плюсы и минусы свободной торговли и торговлю, ориентированную на выгоды местных предпринимателей через систему жесткого протекционизма, следует признать, что исторически подтверждается выгодность свободной торговли для всех, поскольку она ведет к и росту, а протекционизм приводит к противоположным результатам.</w:t>
      </w:r>
    </w:p>
    <w:p w:rsidR="00693F38" w:rsidRDefault="00693F38">
      <w:pPr>
        <w:pStyle w:val="a3"/>
        <w:ind w:firstLine="567"/>
      </w:pPr>
      <w:r>
        <w:t>Можно привести следующие аргументы в пользу предпочтительного отношения к развитию свободной торговли, на примере таких стран, как США, Англия и других стран.</w:t>
      </w:r>
    </w:p>
    <w:p w:rsidR="00693F38" w:rsidRDefault="00693F38">
      <w:pPr>
        <w:pStyle w:val="a3"/>
        <w:ind w:firstLine="567"/>
      </w:pPr>
      <w:r>
        <w:t>1. Американская конституция запрещает отдельным штатам взимать пошлину, превращая США в огромную зону свободной торговли. Специалисты по экономической теории признают, что это фактор оказывает наибольшее влияние на развитие страны.</w:t>
      </w:r>
    </w:p>
    <w:p w:rsidR="00693F38" w:rsidRDefault="00693F38">
      <w:pPr>
        <w:pStyle w:val="a3"/>
        <w:ind w:firstLine="567"/>
      </w:pPr>
      <w:r>
        <w:t>2. Действия Великобритании в поддержку свободной международной торговли в середине девятнадцатого столетия имели позитивное значение как средство стимулирования ее индустриального развития.</w:t>
      </w:r>
    </w:p>
    <w:p w:rsidR="00693F38" w:rsidRDefault="00693F38">
      <w:pPr>
        <w:pStyle w:val="a3"/>
        <w:ind w:firstLine="567"/>
      </w:pPr>
      <w:r>
        <w:t>3. Создание "Общего рынка" в Европе после второй мировой войны во многом способствовало устранению пошлин между странами — членами сообщества.</w:t>
      </w:r>
    </w:p>
    <w:p w:rsidR="00693F38" w:rsidRDefault="00693F38">
      <w:pPr>
        <w:pStyle w:val="a3"/>
        <w:ind w:firstLine="567"/>
      </w:pPr>
      <w:r>
        <w:t>Экономисты сходятся во мнении, что создание такой зоны свободной торговли явилось важным фактором, обеспечившим процветание Западной Европы в последние десятилетия.</w:t>
      </w:r>
    </w:p>
    <w:p w:rsidR="00693F38" w:rsidRDefault="00693F38">
      <w:pPr>
        <w:pStyle w:val="a3"/>
        <w:ind w:firstLine="567"/>
      </w:pPr>
      <w:r>
        <w:t>4. Тенденции к снижению пошлины в середине 30-х годов явились важным стимулом роста послевоенной мировой экономики.</w:t>
      </w:r>
    </w:p>
    <w:p w:rsidR="00693F38" w:rsidRDefault="00693F38">
      <w:pPr>
        <w:pStyle w:val="a3"/>
        <w:ind w:firstLine="567"/>
      </w:pPr>
      <w:r>
        <w:t>5. Опыт развития слаборазвитых стран свидетельствует о том, что ограничения в развитии внешней торговли вели к более медленному росту экономики по сравнению с теми странами, которые проводили открытую экономическую политику.</w:t>
      </w:r>
    </w:p>
    <w:p w:rsidR="00693F38" w:rsidRDefault="00693F38">
      <w:pPr>
        <w:pStyle w:val="1"/>
      </w:pPr>
      <w:r>
        <w:t>Список литературы</w:t>
      </w:r>
    </w:p>
    <w:p w:rsidR="00693F38" w:rsidRDefault="00693F38">
      <w:pPr>
        <w:pStyle w:val="a3"/>
        <w:ind w:firstLine="567"/>
      </w:pPr>
      <w:r>
        <w:t>1. Нуриев Р.М. Основы экономической теории. Микроэкономика. Учебник для вузов. М. Высшая школа. 1996.</w:t>
      </w:r>
    </w:p>
    <w:p w:rsidR="00693F38" w:rsidRDefault="00693F38">
      <w:pPr>
        <w:pStyle w:val="a3"/>
        <w:ind w:firstLine="567"/>
      </w:pPr>
      <w:r>
        <w:t>2. Долан, Эдвин Дж., Линдсей, Девид Е. Микроэкономика. Пер. с англ. С-Пб. 1994.</w:t>
      </w:r>
    </w:p>
    <w:p w:rsidR="00693F38" w:rsidRDefault="00693F38">
      <w:pPr>
        <w:pStyle w:val="a3"/>
        <w:ind w:firstLine="567"/>
      </w:pPr>
      <w:r>
        <w:t>3. Райхлин Э. Основы экономической теории. Микроэкономическая теория рынков продукции. М. Наука. 1996.</w:t>
      </w:r>
    </w:p>
    <w:p w:rsidR="00693F38" w:rsidRDefault="00693F38">
      <w:pPr>
        <w:pStyle w:val="a3"/>
        <w:ind w:firstLine="567"/>
      </w:pPr>
      <w:r>
        <w:t>4. Гайгер, Линвуд Т. Макроэкономическая теория и переходная экономика. Пер. с анг. Общая редакция В.А. Исаева. М. Инфра-М. 1996.</w:t>
      </w:r>
    </w:p>
    <w:p w:rsidR="00693F38" w:rsidRDefault="00693F38">
      <w:pPr>
        <w:pStyle w:val="a3"/>
        <w:ind w:firstLine="567"/>
      </w:pPr>
      <w:r>
        <w:t>5. Долан, Эдвин Дж., Линдсей, Девид Е. Макроэкономика. Пер. с англ. С-Пб. 1994.</w:t>
      </w:r>
    </w:p>
    <w:p w:rsidR="00693F38" w:rsidRDefault="00693F38">
      <w:pPr>
        <w:pStyle w:val="a3"/>
        <w:ind w:firstLine="567"/>
      </w:pPr>
      <w:r>
        <w:t>6. Сакс Дж.С., Ларрен Ф.Б. Макроэкономика. Глобальный подход. Пер. с англ. М. Дело. 1996.</w:t>
      </w:r>
    </w:p>
    <w:p w:rsidR="00693F38" w:rsidRDefault="00693F38">
      <w:pPr>
        <w:pStyle w:val="a3"/>
        <w:ind w:firstLine="567"/>
      </w:pPr>
      <w:r>
        <w:t>7. Лэйард Р. Макроэкономика. Курс лекций для российских читателей. М. 1994.</w:t>
      </w:r>
    </w:p>
    <w:p w:rsidR="00693F38" w:rsidRDefault="00693F38">
      <w:pPr>
        <w:pStyle w:val="a3"/>
        <w:ind w:firstLine="567"/>
      </w:pPr>
      <w:r>
        <w:t>8. Политическая экономия. Под ред. А.В. Сидоровича, Ф.М. Волкова. М. Издательство МГУ. 1994. часть 2.</w:t>
      </w:r>
    </w:p>
    <w:p w:rsidR="00693F38" w:rsidRDefault="00693F38">
      <w:pPr>
        <w:pStyle w:val="a3"/>
        <w:ind w:firstLine="567"/>
      </w:pPr>
      <w:r>
        <w:t>9. Эдвин Дж. Доллан, Колин Д. Кэмпбелл, Розмари Дж. Кэмпбелл. Деньги, банковское дело и денежно-кредитная политика.</w:t>
      </w:r>
    </w:p>
    <w:p w:rsidR="00693F38" w:rsidRDefault="00693F38">
      <w:pPr>
        <w:pStyle w:val="a3"/>
        <w:ind w:firstLine="567"/>
      </w:pPr>
      <w:r>
        <w:t>10. Современный бизнес. т. 1, 2. Москва "Республика". 1995 г.</w:t>
      </w:r>
    </w:p>
    <w:p w:rsidR="00693F38" w:rsidRDefault="00693F38">
      <w:pPr>
        <w:pStyle w:val="a3"/>
        <w:ind w:firstLine="567"/>
      </w:pPr>
      <w:r>
        <w:t>11. Е.Ф. Борисов, Ф.И. Волков. Основы экономической теории. "Высшая школа". М., 1993 г.</w:t>
      </w:r>
    </w:p>
    <w:p w:rsidR="00693F38" w:rsidRDefault="00693F38">
      <w:pPr>
        <w:pStyle w:val="a3"/>
        <w:ind w:firstLine="567"/>
      </w:pPr>
      <w:r>
        <w:t>12. А. Хоскинг. Курс предпринимательства. Москва. "Международные отношения". 1993 г.</w:t>
      </w:r>
    </w:p>
    <w:p w:rsidR="00693F38" w:rsidRDefault="00693F38">
      <w:pPr>
        <w:pStyle w:val="a3"/>
        <w:ind w:firstLine="567"/>
      </w:pPr>
      <w:r>
        <w:t>13. Рохлин Э. Основы экономической теории. Микроэкономическая теория рынков вводимых ресурсов. М. "Наука", 1996 г.</w:t>
      </w:r>
    </w:p>
    <w:p w:rsidR="00693F38" w:rsidRDefault="00693F38">
      <w:pPr>
        <w:pStyle w:val="a3"/>
        <w:ind w:firstLine="567"/>
      </w:pPr>
      <w:r>
        <w:t>14. Агапова Т.А., Серегина С.Ф. Макроэкономика. Учебное пособие под общей редакцией А.В. Сидоровича. М.: ИППК МГУ, 1996 г.</w:t>
      </w:r>
    </w:p>
    <w:p w:rsidR="00693F38" w:rsidRDefault="00693F38">
      <w:pPr>
        <w:pStyle w:val="a3"/>
        <w:ind w:firstLine="567"/>
      </w:pPr>
      <w:r>
        <w:t>15. Раймон Барр. Политическая экономия. т. 1, 2. Москва. "Международные отношения" 1995 г.</w:t>
      </w:r>
    </w:p>
    <w:p w:rsidR="00693F38" w:rsidRDefault="00693F38">
      <w:pPr>
        <w:pStyle w:val="a3"/>
        <w:ind w:firstLine="567"/>
      </w:pPr>
      <w:r>
        <w:t>16. 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1998 - 1999 годы. "Российская газета" 26 февраля 1998 г.</w:t>
      </w:r>
    </w:p>
    <w:p w:rsidR="00693F38" w:rsidRDefault="00693F38">
      <w:pPr>
        <w:ind w:firstLine="567"/>
        <w:rPr>
          <w:sz w:val="24"/>
          <w:szCs w:val="24"/>
        </w:rPr>
      </w:pPr>
      <w:bookmarkStart w:id="0" w:name="_GoBack"/>
      <w:bookmarkEnd w:id="0"/>
    </w:p>
    <w:sectPr w:rsidR="00693F3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CA5324"/>
    <w:multiLevelType w:val="hybridMultilevel"/>
    <w:tmpl w:val="9F62ECCC"/>
    <w:lvl w:ilvl="0" w:tplc="EB70B548">
      <w:start w:val="1"/>
      <w:numFmt w:val="bullet"/>
      <w:lvlText w:val=""/>
      <w:lvlJc w:val="left"/>
      <w:pPr>
        <w:tabs>
          <w:tab w:val="num" w:pos="720"/>
        </w:tabs>
        <w:ind w:left="720" w:hanging="360"/>
      </w:pPr>
      <w:rPr>
        <w:rFonts w:ascii="Symbol" w:hAnsi="Symbol" w:cs="Symbol" w:hint="default"/>
        <w:sz w:val="20"/>
        <w:szCs w:val="20"/>
      </w:rPr>
    </w:lvl>
    <w:lvl w:ilvl="1" w:tplc="0014378C">
      <w:start w:val="1"/>
      <w:numFmt w:val="bullet"/>
      <w:lvlText w:val="o"/>
      <w:lvlJc w:val="left"/>
      <w:pPr>
        <w:tabs>
          <w:tab w:val="num" w:pos="1440"/>
        </w:tabs>
        <w:ind w:left="1440" w:hanging="360"/>
      </w:pPr>
      <w:rPr>
        <w:rFonts w:ascii="Courier New" w:hAnsi="Courier New" w:cs="Courier New" w:hint="default"/>
        <w:sz w:val="20"/>
        <w:szCs w:val="20"/>
      </w:rPr>
    </w:lvl>
    <w:lvl w:ilvl="2" w:tplc="58E0E00E">
      <w:start w:val="1"/>
      <w:numFmt w:val="bullet"/>
      <w:lvlText w:val=""/>
      <w:lvlJc w:val="left"/>
      <w:pPr>
        <w:tabs>
          <w:tab w:val="num" w:pos="2160"/>
        </w:tabs>
        <w:ind w:left="2160" w:hanging="360"/>
      </w:pPr>
      <w:rPr>
        <w:rFonts w:ascii="Wingdings" w:hAnsi="Wingdings" w:cs="Wingdings" w:hint="default"/>
        <w:sz w:val="20"/>
        <w:szCs w:val="20"/>
      </w:rPr>
    </w:lvl>
    <w:lvl w:ilvl="3" w:tplc="308A8836">
      <w:start w:val="1"/>
      <w:numFmt w:val="bullet"/>
      <w:lvlText w:val=""/>
      <w:lvlJc w:val="left"/>
      <w:pPr>
        <w:tabs>
          <w:tab w:val="num" w:pos="2880"/>
        </w:tabs>
        <w:ind w:left="2880" w:hanging="360"/>
      </w:pPr>
      <w:rPr>
        <w:rFonts w:ascii="Wingdings" w:hAnsi="Wingdings" w:cs="Wingdings" w:hint="default"/>
        <w:sz w:val="20"/>
        <w:szCs w:val="20"/>
      </w:rPr>
    </w:lvl>
    <w:lvl w:ilvl="4" w:tplc="E6C49382">
      <w:start w:val="1"/>
      <w:numFmt w:val="bullet"/>
      <w:lvlText w:val=""/>
      <w:lvlJc w:val="left"/>
      <w:pPr>
        <w:tabs>
          <w:tab w:val="num" w:pos="3600"/>
        </w:tabs>
        <w:ind w:left="3600" w:hanging="360"/>
      </w:pPr>
      <w:rPr>
        <w:rFonts w:ascii="Wingdings" w:hAnsi="Wingdings" w:cs="Wingdings" w:hint="default"/>
        <w:sz w:val="20"/>
        <w:szCs w:val="20"/>
      </w:rPr>
    </w:lvl>
    <w:lvl w:ilvl="5" w:tplc="5E880D3A">
      <w:start w:val="1"/>
      <w:numFmt w:val="bullet"/>
      <w:lvlText w:val=""/>
      <w:lvlJc w:val="left"/>
      <w:pPr>
        <w:tabs>
          <w:tab w:val="num" w:pos="4320"/>
        </w:tabs>
        <w:ind w:left="4320" w:hanging="360"/>
      </w:pPr>
      <w:rPr>
        <w:rFonts w:ascii="Wingdings" w:hAnsi="Wingdings" w:cs="Wingdings" w:hint="default"/>
        <w:sz w:val="20"/>
        <w:szCs w:val="20"/>
      </w:rPr>
    </w:lvl>
    <w:lvl w:ilvl="6" w:tplc="B5503D82">
      <w:start w:val="1"/>
      <w:numFmt w:val="bullet"/>
      <w:lvlText w:val=""/>
      <w:lvlJc w:val="left"/>
      <w:pPr>
        <w:tabs>
          <w:tab w:val="num" w:pos="5040"/>
        </w:tabs>
        <w:ind w:left="5040" w:hanging="360"/>
      </w:pPr>
      <w:rPr>
        <w:rFonts w:ascii="Wingdings" w:hAnsi="Wingdings" w:cs="Wingdings" w:hint="default"/>
        <w:sz w:val="20"/>
        <w:szCs w:val="20"/>
      </w:rPr>
    </w:lvl>
    <w:lvl w:ilvl="7" w:tplc="FA8212C6">
      <w:start w:val="1"/>
      <w:numFmt w:val="bullet"/>
      <w:lvlText w:val=""/>
      <w:lvlJc w:val="left"/>
      <w:pPr>
        <w:tabs>
          <w:tab w:val="num" w:pos="5760"/>
        </w:tabs>
        <w:ind w:left="5760" w:hanging="360"/>
      </w:pPr>
      <w:rPr>
        <w:rFonts w:ascii="Wingdings" w:hAnsi="Wingdings" w:cs="Wingdings" w:hint="default"/>
        <w:sz w:val="20"/>
        <w:szCs w:val="20"/>
      </w:rPr>
    </w:lvl>
    <w:lvl w:ilvl="8" w:tplc="A66E33C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008644F"/>
    <w:multiLevelType w:val="hybridMultilevel"/>
    <w:tmpl w:val="CB24D1A6"/>
    <w:lvl w:ilvl="0" w:tplc="4DA05AEC">
      <w:start w:val="1"/>
      <w:numFmt w:val="bullet"/>
      <w:lvlText w:val=""/>
      <w:lvlJc w:val="left"/>
      <w:pPr>
        <w:tabs>
          <w:tab w:val="num" w:pos="720"/>
        </w:tabs>
        <w:ind w:left="720" w:hanging="360"/>
      </w:pPr>
      <w:rPr>
        <w:rFonts w:ascii="Symbol" w:hAnsi="Symbol" w:cs="Symbol" w:hint="default"/>
        <w:sz w:val="20"/>
        <w:szCs w:val="20"/>
      </w:rPr>
    </w:lvl>
    <w:lvl w:ilvl="1" w:tplc="A8C03A0C">
      <w:start w:val="1"/>
      <w:numFmt w:val="bullet"/>
      <w:lvlText w:val="o"/>
      <w:lvlJc w:val="left"/>
      <w:pPr>
        <w:tabs>
          <w:tab w:val="num" w:pos="1440"/>
        </w:tabs>
        <w:ind w:left="1440" w:hanging="360"/>
      </w:pPr>
      <w:rPr>
        <w:rFonts w:ascii="Courier New" w:hAnsi="Courier New" w:cs="Courier New" w:hint="default"/>
        <w:sz w:val="20"/>
        <w:szCs w:val="20"/>
      </w:rPr>
    </w:lvl>
    <w:lvl w:ilvl="2" w:tplc="66507456">
      <w:start w:val="1"/>
      <w:numFmt w:val="bullet"/>
      <w:lvlText w:val=""/>
      <w:lvlJc w:val="left"/>
      <w:pPr>
        <w:tabs>
          <w:tab w:val="num" w:pos="2160"/>
        </w:tabs>
        <w:ind w:left="2160" w:hanging="360"/>
      </w:pPr>
      <w:rPr>
        <w:rFonts w:ascii="Wingdings" w:hAnsi="Wingdings" w:cs="Wingdings" w:hint="default"/>
        <w:sz w:val="20"/>
        <w:szCs w:val="20"/>
      </w:rPr>
    </w:lvl>
    <w:lvl w:ilvl="3" w:tplc="608AE4F8">
      <w:start w:val="1"/>
      <w:numFmt w:val="bullet"/>
      <w:lvlText w:val=""/>
      <w:lvlJc w:val="left"/>
      <w:pPr>
        <w:tabs>
          <w:tab w:val="num" w:pos="2880"/>
        </w:tabs>
        <w:ind w:left="2880" w:hanging="360"/>
      </w:pPr>
      <w:rPr>
        <w:rFonts w:ascii="Wingdings" w:hAnsi="Wingdings" w:cs="Wingdings" w:hint="default"/>
        <w:sz w:val="20"/>
        <w:szCs w:val="20"/>
      </w:rPr>
    </w:lvl>
    <w:lvl w:ilvl="4" w:tplc="956E29C2">
      <w:start w:val="1"/>
      <w:numFmt w:val="bullet"/>
      <w:lvlText w:val=""/>
      <w:lvlJc w:val="left"/>
      <w:pPr>
        <w:tabs>
          <w:tab w:val="num" w:pos="3600"/>
        </w:tabs>
        <w:ind w:left="3600" w:hanging="360"/>
      </w:pPr>
      <w:rPr>
        <w:rFonts w:ascii="Wingdings" w:hAnsi="Wingdings" w:cs="Wingdings" w:hint="default"/>
        <w:sz w:val="20"/>
        <w:szCs w:val="20"/>
      </w:rPr>
    </w:lvl>
    <w:lvl w:ilvl="5" w:tplc="615EEF1A">
      <w:start w:val="1"/>
      <w:numFmt w:val="bullet"/>
      <w:lvlText w:val=""/>
      <w:lvlJc w:val="left"/>
      <w:pPr>
        <w:tabs>
          <w:tab w:val="num" w:pos="4320"/>
        </w:tabs>
        <w:ind w:left="4320" w:hanging="360"/>
      </w:pPr>
      <w:rPr>
        <w:rFonts w:ascii="Wingdings" w:hAnsi="Wingdings" w:cs="Wingdings" w:hint="default"/>
        <w:sz w:val="20"/>
        <w:szCs w:val="20"/>
      </w:rPr>
    </w:lvl>
    <w:lvl w:ilvl="6" w:tplc="674425E8">
      <w:start w:val="1"/>
      <w:numFmt w:val="bullet"/>
      <w:lvlText w:val=""/>
      <w:lvlJc w:val="left"/>
      <w:pPr>
        <w:tabs>
          <w:tab w:val="num" w:pos="5040"/>
        </w:tabs>
        <w:ind w:left="5040" w:hanging="360"/>
      </w:pPr>
      <w:rPr>
        <w:rFonts w:ascii="Wingdings" w:hAnsi="Wingdings" w:cs="Wingdings" w:hint="default"/>
        <w:sz w:val="20"/>
        <w:szCs w:val="20"/>
      </w:rPr>
    </w:lvl>
    <w:lvl w:ilvl="7" w:tplc="7FDA6900">
      <w:start w:val="1"/>
      <w:numFmt w:val="bullet"/>
      <w:lvlText w:val=""/>
      <w:lvlJc w:val="left"/>
      <w:pPr>
        <w:tabs>
          <w:tab w:val="num" w:pos="5760"/>
        </w:tabs>
        <w:ind w:left="5760" w:hanging="360"/>
      </w:pPr>
      <w:rPr>
        <w:rFonts w:ascii="Wingdings" w:hAnsi="Wingdings" w:cs="Wingdings" w:hint="default"/>
        <w:sz w:val="20"/>
        <w:szCs w:val="20"/>
      </w:rPr>
    </w:lvl>
    <w:lvl w:ilvl="8" w:tplc="C3CAC00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875"/>
    <w:rsid w:val="001A2667"/>
    <w:rsid w:val="00693F38"/>
    <w:rsid w:val="00B940B6"/>
    <w:rsid w:val="00FF38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28A98E-050A-450E-BE55-83EBD0F5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56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9879</Words>
  <Characters>5632</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Международная торговля в системе мирохозяйственных связей стран</vt:lpstr>
    </vt:vector>
  </TitlesOfParts>
  <Company>KM</Company>
  <LinksUpToDate>false</LinksUpToDate>
  <CharactersWithSpaces>15481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торговля в системе мирохозяйственных связей стран</dc:title>
  <dc:subject/>
  <dc:creator>N/A</dc:creator>
  <cp:keywords/>
  <dc:description/>
  <cp:lastModifiedBy>admin</cp:lastModifiedBy>
  <cp:revision>2</cp:revision>
  <dcterms:created xsi:type="dcterms:W3CDTF">2014-01-27T21:10:00Z</dcterms:created>
  <dcterms:modified xsi:type="dcterms:W3CDTF">2014-01-27T21:10:00Z</dcterms:modified>
</cp:coreProperties>
</file>