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AE2" w:rsidRDefault="00B80AE2">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Денежная система и денежный рынок</w:t>
      </w:r>
    </w:p>
    <w:p w:rsidR="00B80AE2" w:rsidRDefault="00B80AE2">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Курсовую работу по экономической теории выполнил: студентка 1 курса ЭВ Ахметзянова В.С.</w:t>
      </w:r>
    </w:p>
    <w:p w:rsidR="00B80AE2" w:rsidRDefault="00B80AE2">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Институт социальных и гуманитарных знаний имени Джорджа Сороса</w:t>
      </w:r>
    </w:p>
    <w:p w:rsidR="00B80AE2" w:rsidRDefault="00B80AE2">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Казань, 1998г.</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Предисловие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Кризис плановой хозяйственной системы в нашей стране, проявляющийся в спаде производства, несбалансированности, диспропорциональности экономики, низком уровне производительности труда и качества продукции, привел к необходимости перехода к новым экономическим отношениям – рыночной экономике.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Переход на новые производственные отношения, структурная перестройка экономики привели к глубокому экономическому кризису – падению производства, росту цен и развертыванию инфляции.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Исторически инфляция в экономике России возникла еще в 50-х начале 60-х годов и связана с резким падением эффективности общественного производства. Однако, она носила скрытый характер и проявлялась в товарном дефиците и значительном разрыве в ценах: низких на конечную продукцию и высоких на все виды сырья. Открыто взрыв инфляции произошел в январе 1992 г., когда первым этапом новой экономической реформы были отпущены цены на свободу. С этого момента инфляционный процесс стал быстро нарастать, что привело к обострению экономических и социальных противоречий.</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Поэтому среди проблем, требующих немедленного решения в период перехода к рынку, одно из важнейших мест занимает задача сокращения темпов инфляции и стабилизации денежного обращения.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этих условиях роль и значение денежных и финансово-кредитных рычагов резко возрастают. Денежная и финансово-кредитная системы – одни из тех секторов экономики, где наиболее эффективно работают рыночные механизмы.</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этом свете в реферате «Денежная система и денежный рынок» наиболее подробно рассмотрено понятие «деноминация», как одного из методов денежной реформы, направленной на борьбу с инфляцией.</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Деноминация на сегодняшний день – это одна из актуальных тем в связи с принятием Президентом Российской Федерации Указа № 822 от 4 августа 1997г. о проведении с 1 января 1998г. деноминации рубля. Эта реформа является частью программы финансового оздоровления страны и направлена на упрочение позиций российской валюты.</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Понятие денежной системы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Деньги играют исключительно важную роль в рыночной экономике. Рынок невозможен без денег, денежного обращения. Денежное обращение – это движение денег, опосредствующее оборот товаров и услуг. Оно обслуживает реализацию товаров, а также движение финансового рынка.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Денежная система – устройство денежного обращения в стране, сложившееся исторически и закрепленное национальным законодательством. Она сформировалась в XVI – XVII вв. с возникновением и утверждением капиталистического производства, а также централизованного государства и национального рынка. По мере развития товарно-денежных отношений и капиталистического производства денежная система претерпевала существенные изменения.</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зависимости от вида обращаемых денег (деньги как товар, выполняющий роль всеобщего эквивалента, или деньги как знак стоимости) можно выделить два основных типа систем денежного обращения: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системы обращения металлических денег, когда в обращении находятся полноценные золотые и (или) серебряные монеты, которые выполняют все функции денег, а кредитные деньги могут свободно обмениваться на денежный металл;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 системы бумажно-кредитного обращения, при которой действительные деньги вытеснены знаками стоимости, а в обращении находятся бумажные (казначейские векселя) либо кредитные деньги.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Исторически сформировались такие разновидности систем обращения металлических денег как биметаллизм и монометаллизм. Биметаллизм, базирующийся на использовании в качестве денег двух металлов – золота и серебра, существовал в ряде стран Западной Европы в XVI-XIX вв. Но в конце XIX в. обесценение серебра, вызванное изменением условий его производства, привело к резкому изменению соотношения стоимости серебра и золота, в результате чего золотые монеты были вытеснены из обращения. В итоге избыток серебряных монет вызвал прекращение их чеканки. В результате биметаллизм уступил место монометаллизму, когда в качестве денежного материала стал использоваться лишь один металл – золото, а бумажные и кредитные деньги свободно обменивались на этот металл. Мировой экономический кризис 1929-1933 гг. положил конец эпохе монометаллизма.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 30-х гг. XX в. в западных странах постепенно формируется система неразменных кредитных денег. К ее отличительным чертам следует отнести: господствующее положение кредитных денег; демонетизацию золота, т.е. уход его из обращения; отказ от обмена банкнот на золото и отмена их золотого содержания; усиление эмиссии денег в целях кредитования частного предпринимательства и государства; государственное регулирование денежного обращения.</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Современные денежные системы, несмотря на свои особенности, имеют много общих черт. Они включают следующие элементы: денежную единицу, масштаб цен, виды денег, являющихся законным платежным средством, систему эмиссии денег и государственный аппарат регулирования денежного обращения.</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Денежная единица – это установленный в законодательном порядке денежный знак, служащий для соизмерения и выражения цен всех товаров и услуг. Она, как правило, делится на мелкие пропорциональные части. В большинстве стран действует десятичная система деления (1 доллар США равен 100 центам, 1 английский фунт стерлингов равен 10 пенсам).</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Масштаб цен – как выбор денежной единицы страны и как средство выражения стоимости товара через весовое содержание денежного металла в этой выбранной единице. Это определение масштаба цен утратило свое экономическое значения, поскольку кредитные деньги не имеют собственной стоимости и не могут быть выразителем стоимости других товаров.</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Виды денег, являющихся законными платежными средствами, - прежде всего это кредитные деньги и в первую очередь банкноты, разменная монета, а также бумажные деньги.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Эмиссионная система – законодательно установленный порядок выпуска и обращения денежных знаков.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Выпуск как бумажных, так и кредитных денег оказался в современных условиях монополизирован государством. Центральный банк, находящийся в собственности государства, иногда пытается компенсировать нехватку денежных накоплений путем увеличения денежной массы, эмиссии избыточных знаков стоимости. Однако нарушение основополагающего принципа денежной системы – соответствия количества денег объективным потребностям экономического оборота ведет к инфляционному процессу. В связи с эти одной из характерных черт современных денежных систем является усиление государственного регулирования денежного обращения.</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1.1. Денежная система Российской Федерации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Денежная система России функционирует в соответствии с Федеральным законом о Центральном Банке РФ (Банке России) от 12 апреля 1995г., определившим правовые ее основы.</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Официальной денежной единицей в нашей стране (валютой) является рубль. Введение на территории РФ других денежных единиц запрещено. Соотношение между рублем и золотом или другими драгоценными металлами Законом не установлено. Официальный курс рубля к иностранным денежным единицам определяется Центральным Банком РФ (ЦБР) и публикуется в печати.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Исключительным правом эмиссии наличных денег, организации их обращения и изъятия на территории РФ обладает Банк России. Он отвечает за состояние денежного обращения с целью поддержания нормальной экономической деятельности в стране.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Видами денег, имеющими законную платежную силу, являются банкноты и металлические монеты, которые обеспечиваются всеми активами Банка России, в том числе золотым запасом, государственными ценными бумагами, резервами кредитных учреждений, находящимися на счетах Центрального банка России. На территории России функционируют наличные деньги (банкноты и монеты) и безналичные деньги (в виде средств на счетах в кредитных учреждениях).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связи с тем, что российская денежная единица – рубль по закону не связана с денежным металлом (золотом), фиксированный его масштаб цен отсутствует. Официальный масштаб цен рубля устанавливается государством.</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Регулирование денежного обращения, возлагаемое на Банк России, осуществляется в соответствии с основными направлениями денежно-кредитной политики, которая разрабатывается и утверждается в порядке, установленном банковским законодательством. Банк России, наделенный исключительным правом эмиссии денег, особо ответственен за поддержание равновесия в сфере денежного обращения. В отличие от периода существования действительных (золотых) денег при бумажно-кредитном обращении, когда знаки стоимости оторвались от металлической основы, Центральный Банк должен создавать определенные ограничения, сдерживающие эмиссию этих денег.</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Используя денежно-кредитную политику как средство регулирования экономики Центральный банк привлекает следующие инструменты:</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Ставки учетного процента (дисконтную политику);</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Нормы обязательных резервов кредитных учреждений;</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Операции на открытом рынке;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Регламентацию экономических нормативов для кредитных учреждений и другие.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Для осуществления кассового обслуживания кредитных учреждений, а также других юридических лиц на территории РФ создаются расчетно-кассовые центры при территориальных главных управлениях Банка России. Эти центры формируют оборотную кассу по приему и выдаче билетов и монет. Резервные фонды представляют собой запасы не выпущенных в обращение банкнот и монет в хранилищах Центрального банка России имеют важное значение для организации и централизованного регулирования кассовых ресурсов. Остаток наличных денег в оборотной кассе лимитируется, и при превышении установленного лимита излишки денег передаются из оборотной кассы в резервные фонды.</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Резервные фонды банкнот и монет создаются по распоряжению Банка России, который устанавливает их величину исходя из размера оборотной кассы, объема налично-денежного оборота, условий хранения.</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Наличные деньги выпускаются в обращение на основе эмиссионного разрешения – документа, дающего право Центральному банку России подкреплять оборотную кассу за счет резервных фондов денежных банкнот и монет. Этот документ выдается Правлением Банка России в пределах эмиссионной директивы, т.е. предельного размера выпуска денег в обращение, установленного Правительством Российской Федерации.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Совместные действия Правительства и Банка России в сфере денежно-кредитной политики в последние годы позволили достичь снижения инфляции до приемлемого уровня и удержания под контролем динамики инфляции и валютного курса.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этих условиях стало возможным проведение с 1 января 1998г. укрупнения российской денежной единицы – деноминации рубля.</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Деноминация</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Истории деноминаций</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мировой истории деноминация – дело нередкое и в подавляющем большинстве случаев малоинтересное. Только после Второй мировой войны в мире было проведено более 600 деноминаций. Точное число назвать трудно.</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нормальной экономике деноминация – чисто техническое и скучное мероприятие.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Интересным процесс обмена одних денежных знаков на другие становится в двух случаях: в комплекте с гиперинфляцией и при коммунистическом правительстве. Но, как писал замечательный поэт Николай Глазков, “чем приятнее эпоха для историка, тем она для современников печальней”. А потому простые граждане предпочитают неинтересную деноминацию. Невероятно, но нынешняя денежная реформа вроде бы относится именно к этой категории.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Деноминация (от латинского denominato) – это уменьшение (в 10, 100, 1000 и т.д. раз) номинального выражения вновь выпускаемых денежных знаков. Иногда деноминацией называют также замену одних денежных знаков на другие без изменения их нарицательной стоимости. Деноминации бывают полные (обмениваются все денежные знаки всех существующих номиналов) и частичные (обмениваются банкноты одного или нескольких номиналов). По скорости проведения процесса обмена денег деноминации могут быть быстрыми (в течении нескольких дней или недель – популярная советская забава), медленными (от нескольких месяцев до года), длительными (несколько лет), и наконец, бессрочными («спящими»), которые рассчитаны на неограниченный или необъявленный срок. Последний тип характерен для США.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Но сильнее всего, с точки зрения простого гражданина, различаются «мягкие» и «жесткие» деноминации. Ведь купюры можно менять всем и любое количество, а можно и не так.</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по -советски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легендарном 1913 году, как, наверное, уже всем известно, российский рубль базировался на золотом стандарте и был хорошей, уважаемой валютой. После этого ему довелось пережить немало. В августе 1914 года был прекращен свободный обмен кредитных билетов (бумажных денег) на золото. В связи с Первой мировой войной Государственному банку было дано разрешение на выпуск бумажных денег «без каких-либо ограничений, но в пределах разумного».</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августе 1914 года общая сумма денег в обращении составляла 2,5 млрд рублей. Год спустя «пределы разумного» достигли 3,5 млрд рублей, еще через год – 5,5 млрд, к марту 1917 года – 9,9 млрд. Временное правительство не смогло принять мер финансовой стабилизации, но сумело увеличить скорость печатного станка. Между февралем и октябрем 1917 года денежная масса увеличилась примерно вдвое. Цены выросли по сравнению с идиллическим 1913 годом в 16 раз.</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Большевики были одержимы всевозможными утопическими идеями, например, о полной отмене денег. Правда, по скорости печатания новых, ничем не обеспеченных денежных знаков, легко перегнали Временное правительство. Но и такого количества не хватало. Были выпущены денежные суррогаты – краткосрочные обязательства Государственного казначейства. Были введены в обращение купоны от потерявших цену дореволюционных ценных бумаг. Резко ограничено свободное обращение наличных денег. Аннулированы все внутренние и внешние государственные займы.</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результате появилась робкая надежда на стабилизацию экономики и был даже подготовлен проект денежной реформы и деноминации. Но тут началась гражданская война.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Темпы роста денежной массы стали трехзначными, роста цен – четырехзначными. Номинал банкнотов был ниже цены бумаги, на которой их печатали. Наряду с советскими деньгами и денежными суррогатами в стране обращалось большое количество других денег, которые выпускали все, кому не лень (местные органы власти, фирмы, войсковые подразделения).</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Ситуация стала потихоньку меняться в лучшую сторону только с провозглашением нэпа. Именно нэп дал возможность провести денежную реформу, идеологом которой стал блестящий финансист, нарком финансов Григорий Яковлевич Сокольников.</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рамках этой реформы, в частности, были проведены три деноминации (в 1922, 1923 и 1924 годах). При этом у рубля сначала исчезло четыре нуля, потом еще два, и наконец он подешевел еще в 50 000 раз. Кроме того, в октябре 1922 года было принято решение о выпуске обеспеченных золотом банковских билетов – червонцев. Червонцы отчеканили и из золота. Но даже после всех обменов любыми старыми деньгами можно было пользоваться очень долго – реально до 1938 года, формально – до 1947 года.</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…по Сталину</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Реформу Сокольникова уже мало кто помнит. Зато в памяти старшего поколения осталась реформа 14 декабря 1947 года. Для обмена старых денег на новые по курсу 10:1 народу была дана неделя (а кто успел, тот опоздал). Вклады в сберкассах менялись по льготному курсу, но их мало кто имел. Кроме того, в обращении осталась разменная монета, подорожавшая в 10 раз – на радость детворе.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Одновременно с денежной реформой были отменены карточки на основные продукты питания. Все поступило в свободную продажу – но уже по новым, заметно поднявшимся ценам.</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Народ был нагло ограблен, зато стабилизировалось денежное обращение, нарушенное еще во время инфляции тридцатых годов и особо пострадавшее в военные годы. Согласно официальной пропаганде, лишние рубли печатали фашисты, но статистика гласит, что в 1941-1945 годах наш советский Госбанк напечатал больше денег, чем находилось в обращении накануне войны.</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Денежная реформа 1961 года не была обусловлена никакой экономической необходимостью, а просто была одним из эпизодов «волюнтаризма». Новые монеты начали чеканить в 1958 году, бумажные деньги стали печатать в конце 1959 года. Но все держалось в тайне. Официальное решение о реформе было якобы принято в мае 1960 года Верховным Советом СССР. Но до 1 января 1961 года – первого дня обмена денег по курсу 10:1 – гражданам страны ничего не сообщали. Правда, самые умные догадывались. Кассирши в магазинах наотрез отказывались давать на сдачу мелочь, ожидая, что монетки подорожают в 10 раз (и не ошиблись). Кто-то понес деньги в сберкассу, помня о 1947 годе и льготном обмене вкладов (и не угадал). Поменять деньги удалось всем и практически в любом количестве (правда, тех, у кого это количество было слишком большим, взяли на заметку правоохранительные органы). Но в целом реформа прошла тихо.</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Использовать обмен денег как орудие классовой борьбы любили во всех странах, пошедших по пути социализма. По-научному это называлось так: «лимитированный обмен военно-оккупационной и марионеточной валюты, направленный на подрыв финансовой мощи эксплуататорских классов».</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послевоенной Польше и Чехии меняли по 500 денежных единиц на человека, не более. В Румынии в те же годы за 20 000 старых лей давали 1 новую лею. Рабочие и крестьяне могли обменять не более 3 млн старых лей на семью, все остальные – не более 1 млн.</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Крах мировой социалистической системы тоже был отмечен деноминациями и денежными реформами, порой более тяжелыми, чем ее создание и существование.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девяностые годы, как уже помнят все, прошли две деноминации: грабительские «три дня» Валентина Павлова, а два года спустя – более спокойный обмен купюр достоинством 5000 и 10 000 рублей.</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…по-польски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Обещая обдумать зарубежный опыт деноминации, Сергей Дубинин (Председатель Центрального банка России) назвал для примера несколько стран – победившую многочисленные нули Францию, постоянно побеждающий эти нули Израиль и не обращающие на нули внимания Италию с Японией. Возможно, их опыт изучен и был, но Россия его перенимать не стала. Правила нынешней деноминации скопировали с Польши: 7 июля 1994 года польские власти объявили о предстоящей с 1 января 1995 года денежной реформе. Новый златый был приравнен к старой тысяче (в просторечии называемой «тыщонкой»). Новые деньги ходили наравне со старыми. Все ценники в магазинах были написаны по-новому и по-старому. Параллельное хождение двух видов денег будет продолжаться до 2007 года.</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Основные экономические предпосылки  деноминации рубля 1998г.</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Вопрос о проведении деноминации поднимался в средствах массовой информации начиная с 1995 г. Однако, до настоящего времени осуществление реформы подобного рода являлось преждевременным в силу наличия высокого уровня инфляции - более 20% в год. Тенденции развития экономики Российской Федерации в последнее время свидетельствуют о начавшемся процессе финансовой стабилизации.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программных документах о единой государственной экономической политике истекший 1997г. рассматривался в качестве стартового года нового цикла реформ российской экономики, в результате которых в прошлом году в российской экономике должны были быть созданы условия для перехода к фазе устойчивого экономического роста.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Свое логическое подтверждение экономическая политика, намеченная к реализации в 1997г., нашла в Заявлении Правительства РФ и Центрального банка РФ о среднесрочной стратегии и экономической политике на 1997г. В этом документе отражаются совместные действия Правительства и Банка России в сферах денежно-кредитной, бюджетной, структурной и валютной политики, управлении международными резервами, политики в отношении внешнего долга.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Денежно-кредитная политика Центрального банка Российской Федерации в 1997 г. была направлена на почти двукратное снижение инфляции, прекращение экономического спада и достижение финансовой стабилизации. Важной особенностью минувшего года стало расширение присутствия Банка России на денежном рынке, что помогло более эффективно реализовать основные задачи денежно-кредитной политики.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Придерживаясь курса финансовой стабилизации, Банк России в 1997г. осуществлял регулирование денег в экономике на уровне, достаточном для обеспечения хозяйственного оборота и создания условий для перехода к наращиванию объемов производства. Как итог, в российской экономике в 1997г. в целом происходило увеличение в реальном выражении совокупного прироста наличных денег и депозитов, что привело к увеличению насыщенности экономики деньгами. Характерной чертой истекшего года явилось также то, что рост денежной массы в реальном выражении сопровождался замедлением относительно 1996г. темпов роста потребительских цен, используемых для оценки уровня инфляции.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Оценивая эффективность проводимой Банком России денежно-кредитной политики, следует отметить, что она в значительной степени способствовала созданию реальных предпосылок для оживления деловой активности во всех секторах экономики. И, как результат, впервые с 1992 г., когда начался процесс преобразования экономики России, в 1997 г. удалось добиться существенного замедления темпов экономического спада. Практически на протяжении всего периода 1997г. объем ВВП в реальном выражении сохранялся на уровне 1996г. А в отдельных отраслях промышленности наметился рост производства продукции .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денежно-кредитной сфере удалось в целом обеспечить относительную стабильность функционирования банковской системы. Индикатором этого во многом явилась та четкость и организованность, которая характеризовала подготовку к осуществлению процесса замены денег (деноминации рубля).</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результатом согласованной экономической политики, осуществляемой Правительством и Центральным банком Российской Федерации явилось то, что в 1997 г. в российской экономике впервые за последние годы удалось переломить негативные тенденции, связанные с экономическим спадом, и выйти по ряду ее важнейших параметров, таких, как объем ВВП и промышленное производство, на уровень, определенный целевым прогнозом развития российской экономики в 1997г., предусматривавшим рост объема ВВП в сопоставимых ценах в пределах 100-102%, и рост объемов продукции промышленности в сопоставимых ценах – 101%.</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Следствием улучшения общеэкономической ситуации – замедление темпов инфляции и оживление активности в экономике – явился рост в 1997г. реальных доходов населения.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этих условиях стало возможным проведение деноминации российского рубля, которая явилась свидетельством способности органов денежно-кредитного регулирования обеспечить контроль над инфляцией в долгосрочной перспективе.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Эквивалентная деноминация – это техническая процедура, обеспечивающая упрощение учета и расчетов в хозяйстве. Международный опыт показывает, что деноминация может оказать позитивное воздействие на такие показатели, как инфляционные ожидания, долгосрочные процентные ставки, и, таким образом, на экономический рост. С этой точки зрения, деноминация – это и элемент экономической политики. Психологически деноминация содействует повышению доверия населения к национальной валюте. Способствуя укреплению рубля, деноминация может оказать эффективное воздействие на приток капитала в сферу производства товаров и услуг, рост производственных инвестиций.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Естественно, деноминация влечет за собой и определенные проблемы, но они решаемы. Так, например, опасения разового роста цен вследствие их округления снимаются решением Правительства Российской Федерации о необходимости указания цен на товары и услуги одновременно в новом и старом масштабе.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Решение о деноминации положительно оценивается международными финансовыми организациями. Новый рубль может содействовать повышению рейтинга России на мировом рынке, будет способствовать росту инвестиций в российскую экономику, снижению цены заимствований Российской Федерации на мировых рынках.</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Деноминация рубля завершает период высокой инфляции, сопровождавшийся значительным обесценением денежной единицы, и способствует повышению доверия к национальной валюте, укреплению ее курса к иностранным валютам и должна стать завершающим этапом нормализации денежного обращения после введения свободных цен и бурного развития инфляционных процессов в России в 1992 – 1994 годах.</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Деноминация и закон денежного обращения</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Удивительное дело: когда свершилась деноминация, вдруг откуда-то из небытия появились деньги образца 1993 года, о существовании которых многие уже забыли. Ими расплачиваются активнее всего стараясь сбыть при первой же возможности. Но почему? Ведь никто ничего не говорил о том, что они скоро утратят покупательную способность. Все дело в законе денежного обращения, впервые сформулированном еще в XVI веке.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Еще прозорливый казначей царя Гороха заметил, что хитрые горошинцы всячески стараются укрыть полновесные монеты в тайниках, а монетами неполноценными расплатиться с казной или доверчивым торговцем на базаре. Объяснить этого казначей не смог. Не смогли и лучшие финансовые умы последующих столетий. Так продолжалось до 1526 года, пока суть денег не растолковал наконец Николай Коперник, а затем, 1560-м, не разжевал Томас Грешэм. Независимо друг от друга они сформулировали закон денежного обращения, который сегодня так и называется – закон Коперника-Грешэма. Но прежде чем изложить его суть, несколько слов о его авторах.</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Представлять Николая Коперника как будто не надо. Это польский астроном, доказавший, что не Солнце вращается вокруг Земли, а, наоборот, Земля вокруг Солнца. Однако мало кто знает, что из своей фромборкской башни Коперник пристально наблюдал не только за движением светил, но и за перемещением денег. Вот он и заметил, что наиболее качественные монеты Речи Посполитой обрезают и вывозят за границу, где из нескольких полновесных делают большое количество неполновесных, а затем ввозят обратно в Польшу. Поэтому на внутреннем рынке становится все больше порченых, потертых и обрезанных монет и все меньше – полноценных. Коперник это явление объяснил, но как-то невнятно. Четко сформулировал закон денежного обращения поставщик английского королевского двора и монетных дел мастер Томас Грешэм.</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Широкой публике этот человек известен куда меньше, чем Коперник. Между тем именно он создал Лондонскую биржу, которая вскоре превратилась в мировой финансовый центр. Наблюдая за колебаниями биржевых цен на золото и серебро, Грешэм обратил внимание на то, что, когда стоимость одного металла растет, а другого падает, номиналы золотых и серебряных монет, устанавливаемые государством, остаются без изменения. В результате становится выгоднее расплачиваться монетами из дешевеющего металла, а те, что сделаны из дорожающего, припрятывать до лучших времен или вывозить за границу.</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Вывод прост: плохие деньги вытесняют из обращения хорошие. Вот, собственно, и весь закон, чья неумолимая сила застала врасплох еще горошинского казначея и заставила считаться с собой всех последующих тузов финансового мира. К примеру, Исаака Ньютона, который убедился не только в том, что под действием закона всемирного тяготения яблоко снова и снова падает ему на голову, а деньги с непреодолимой силой стремятся на Лондонскую биржу. Ньютон убедился еще и в том, что «хорошие» денежные знаки, которые под его руководством чеканились на Королевском монетном дворе в конце XVII века, в соответствии с законом Коперника-Грешэма никак не могут вытеснить «плохие». Преодолеть всепобеждающую силу этого закона и завершить одну из самых блестящих денежных реформ в истории Ньютону удалось лишь благодаря неимоверному усилию воли и напряжению всех подвластных ему монетных станов.</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 менее блестящая денежная реформа, которую в конце XIX века провел российский министр финансов Сергей Витте, проходила в несколько иных условиях. Помимо золотых и серебряных монет в обращении находились еще и бумажные деньги. Но Витте несколько модернизировал закон Коперника-Грешэма и сформулировал его следующим образом: «Бумажные деньги вытесняют из обращения металлические». Тем самым он четко обозначил опасную тенденцию и, преодолев ее возможные пагубные последствия, справился с задачей создания в России устойчивой денежной системы.</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Закон, впрочем, можно совершенствовать до бесконечности. Возьмем, к примеру, эмиссионную вакханалию 1991 – 1992 годов, когда безналичные рубли в неимоверных количествах выпускали все без исключения центральные банки республик бывшего СССР. При этом в особом дефиците были те, что эмитировал Центральный банк России: несмотря на стремительное падение, они были все же более устойчивыми, чем другие. Или, вспомним, как в 1993 году с белорусского рынка исчезли наличные рубли – они обращались там параллельно с обесценивающимися на глазах расчетными билетами Национального банка Белоруссии. Эти два примера позволяют сформулировать закон денежного обращения так: «Дешевеющие деньги вытесняют из обращения дорожающие».</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ЗАКЛЮЧЕНИЕ</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Деноминация стала в России по-настоящему народным явлением. </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Недавние опросы, проведенные фондом «Общественное мнение», зафиксировали рост недовольства граждан возвратом металлических денег: в феврале число тех, кому нравится звонкая монета снизилась с 33% до 25%, а тех, кому она вовсе не нравится, напротив, возросло с 23% до 40%. Прежде всего потому, что в связи с активным использованием металлических монет гражданам придется потратиться на новые кошельки, имеющие специальные отсеки для хранения мелочи.</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ходе тех же опросов выяснилось: более половины российских граждан уверены, что пострадали от деноминации (хотя только у 13% из них лично возникали определенные проблемы и недоразумения из-за деноминации), но так и не поняли, для чего же, собственно, она была нужна. Наиболее популярные версии такие: государство таким образом оправдывает увеличение денежной массы для погашения долгов по зарплате; деноминация дает банкам возможности для махинаций, и именно банками деноминация и была инициирована. Большинство граждан при этом считает, что деноминация вызвала рост цен на товары повседневного спроса. Практически не сомневаются в этом пожилые люди, среди которых рост потребительских цен с деноминацией связывает подавляющее большинство – 71%.</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Больше половины людей считают, что знают о деноминации достаточно. Вместе с тем почти половина думает, что мошенничества, связанные с деноминацией, будут весьма распространены, а подавляющее большинство (почти 80%) уверено, что в той или иной степени от деноминации пострадает.</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Примечательно, что отношение людей к деноминации практически не зависит ни от образования, ни от пола, ни от уровня их осведомленности. Оно определяется только возрастом. Почти половина людей старше 40 лет полагает, что станет жертвой мошенников. Среди молодежи такой точки зрения придерживаются 15%. Примерно такое же соотношение и по вопросам о других последствиях деноминации: люди старшего возраста пессимистичные оценки высказывают примерно в три раза чаще (см. Приложение №1).</w:t>
      </w:r>
    </w:p>
    <w:p w:rsidR="00B80AE2" w:rsidRDefault="00B80AE2">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«Деньги» № 29 (135), 13 августа 1997г. еженедельник Издательского дома «Коммерсантъ». - М.:ЗАО «Издательство «Коммерсантъ».</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«Деньги» № 46 (152), 10 декабря 1997г.: еженедельник Издательского дома «Коммерсантъ». – М.:ЗАО «Издательство «Коммерсантъ».</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«Деньги» № 6 (160), 25 февраля 1998г.: еженедельник Издательского дома «Коммерсантъ». - М.:ЗАО «Издательство «Коммерсантъ».</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«Деньги и Кредит» № 8/1997г.: ежемесячный научно-практический журнал. Учредитель Банк России. - М.:Финансы и статистика.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«Деньги и Кредит» № 9/1997г.: ежемесячный научно-практический журнал. Учредитель Банк России. - М.:Финансы и статистика.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«Деньги и Кредит» № 11/1997г.: ежемесячный научно-практический журнал. Учредитель Банк России.- М.:Финансы и статистика.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Журнал «Деньги и Кредит» № 1/1998г.: ежемесячный научно-практический журнал. Учредитель Банк России. - М.:Финансы и статистика.</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Курс экономической теории: Учебник / под общей ред. проф.М.Н.Чепурина, проф. Е.А.Киселевой. – Киров: Издательство «АСА», 1997г.</w:t>
      </w:r>
    </w:p>
    <w:p w:rsidR="00B80AE2" w:rsidRDefault="00B80AE2">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Финансы. Денежное обращение. Кредит: Учебник для вузов / под ред.проф. Л.А.Дробозиной. – М.:Финансы, ЮНИТИ, 1997г.</w:t>
      </w:r>
    </w:p>
    <w:p w:rsidR="00B80AE2" w:rsidRDefault="00B80AE2">
      <w:pPr>
        <w:widowControl w:val="0"/>
        <w:spacing w:before="120"/>
        <w:ind w:firstLine="567"/>
        <w:jc w:val="both"/>
        <w:rPr>
          <w:rFonts w:ascii="Times New Roman" w:hAnsi="Times New Roman" w:cs="Times New Roman"/>
          <w:color w:val="000000"/>
          <w:sz w:val="24"/>
          <w:szCs w:val="24"/>
        </w:rPr>
      </w:pPr>
      <w:bookmarkStart w:id="0" w:name="_GoBack"/>
      <w:bookmarkEnd w:id="0"/>
    </w:p>
    <w:sectPr w:rsidR="00B80AE2">
      <w:pgSz w:w="11906" w:h="16838"/>
      <w:pgMar w:top="1134" w:right="1134" w:bottom="1134" w:left="1134" w:header="1440" w:footer="1440" w:gutter="0"/>
      <w:cols w:space="720"/>
      <w:noEndnote/>
      <w:docGrid w:linePitch="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4144D"/>
    <w:multiLevelType w:val="multilevel"/>
    <w:tmpl w:val="F30CB40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854"/>
        </w:tabs>
        <w:ind w:left="1854" w:hanging="7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1232"/>
        </w:tabs>
        <w:ind w:left="11232" w:hanging="2160"/>
      </w:pPr>
      <w:rPr>
        <w:rFonts w:hint="default"/>
      </w:rPr>
    </w:lvl>
  </w:abstractNum>
  <w:abstractNum w:abstractNumId="1">
    <w:nsid w:val="0D5A754C"/>
    <w:multiLevelType w:val="singleLevel"/>
    <w:tmpl w:val="8DE62184"/>
    <w:lvl w:ilvl="0">
      <w:start w:val="2"/>
      <w:numFmt w:val="decimal"/>
      <w:lvlText w:val="%1."/>
      <w:lvlJc w:val="left"/>
      <w:pPr>
        <w:tabs>
          <w:tab w:val="num" w:pos="1494"/>
        </w:tabs>
        <w:ind w:left="1494" w:hanging="360"/>
      </w:pPr>
      <w:rPr>
        <w:rFonts w:ascii="Arial" w:hAnsi="Arial" w:cs="Arial" w:hint="default"/>
      </w:rPr>
    </w:lvl>
  </w:abstractNum>
  <w:abstractNum w:abstractNumId="2">
    <w:nsid w:val="168B0314"/>
    <w:multiLevelType w:val="singleLevel"/>
    <w:tmpl w:val="ACEC79BC"/>
    <w:lvl w:ilvl="0">
      <w:start w:val="1"/>
      <w:numFmt w:val="upperRoman"/>
      <w:lvlText w:val="%1."/>
      <w:lvlJc w:val="left"/>
      <w:pPr>
        <w:tabs>
          <w:tab w:val="num" w:pos="1429"/>
        </w:tabs>
        <w:ind w:left="1429" w:hanging="720"/>
      </w:pPr>
      <w:rPr>
        <w:rFonts w:hint="default"/>
      </w:rPr>
    </w:lvl>
  </w:abstractNum>
  <w:abstractNum w:abstractNumId="3">
    <w:nsid w:val="17EB3AB8"/>
    <w:multiLevelType w:val="multilevel"/>
    <w:tmpl w:val="ACEC5786"/>
    <w:lvl w:ilvl="0">
      <w:start w:val="2"/>
      <w:numFmt w:val="decimal"/>
      <w:lvlText w:val="%1."/>
      <w:lvlJc w:val="left"/>
      <w:pPr>
        <w:tabs>
          <w:tab w:val="num" w:pos="360"/>
        </w:tabs>
        <w:ind w:left="360" w:hanging="360"/>
      </w:pPr>
      <w:rPr>
        <w:rFonts w:hint="default"/>
        <w:color w:val="auto"/>
        <w:u w:val="none"/>
      </w:rPr>
    </w:lvl>
    <w:lvl w:ilvl="1">
      <w:start w:val="1"/>
      <w:numFmt w:val="decimal"/>
      <w:lvlText w:val="%1.%2."/>
      <w:lvlJc w:val="left"/>
      <w:pPr>
        <w:tabs>
          <w:tab w:val="num" w:pos="720"/>
        </w:tabs>
        <w:ind w:left="720" w:hanging="720"/>
      </w:pPr>
      <w:rPr>
        <w:rFonts w:hint="default"/>
        <w:color w:val="auto"/>
        <w:u w:val="none"/>
      </w:rPr>
    </w:lvl>
    <w:lvl w:ilvl="2">
      <w:start w:val="1"/>
      <w:numFmt w:val="decimal"/>
      <w:lvlText w:val="%1.%2.%3."/>
      <w:lvlJc w:val="left"/>
      <w:pPr>
        <w:tabs>
          <w:tab w:val="num" w:pos="720"/>
        </w:tabs>
        <w:ind w:left="720" w:hanging="720"/>
      </w:pPr>
      <w:rPr>
        <w:rFonts w:hint="default"/>
        <w:color w:val="auto"/>
        <w:u w:val="none"/>
      </w:rPr>
    </w:lvl>
    <w:lvl w:ilvl="3">
      <w:start w:val="1"/>
      <w:numFmt w:val="decimal"/>
      <w:lvlText w:val="%1.%2.%3.%4."/>
      <w:lvlJc w:val="left"/>
      <w:pPr>
        <w:tabs>
          <w:tab w:val="num" w:pos="1080"/>
        </w:tabs>
        <w:ind w:left="1080" w:hanging="1080"/>
      </w:pPr>
      <w:rPr>
        <w:rFonts w:hint="default"/>
        <w:color w:val="auto"/>
        <w:u w:val="none"/>
      </w:rPr>
    </w:lvl>
    <w:lvl w:ilvl="4">
      <w:start w:val="1"/>
      <w:numFmt w:val="decimal"/>
      <w:lvlText w:val="%1.%2.%3.%4.%5."/>
      <w:lvlJc w:val="left"/>
      <w:pPr>
        <w:tabs>
          <w:tab w:val="num" w:pos="1080"/>
        </w:tabs>
        <w:ind w:left="1080" w:hanging="1080"/>
      </w:pPr>
      <w:rPr>
        <w:rFonts w:hint="default"/>
        <w:color w:val="auto"/>
        <w:u w:val="none"/>
      </w:rPr>
    </w:lvl>
    <w:lvl w:ilvl="5">
      <w:start w:val="1"/>
      <w:numFmt w:val="decimal"/>
      <w:lvlText w:val="%1.%2.%3.%4.%5.%6."/>
      <w:lvlJc w:val="left"/>
      <w:pPr>
        <w:tabs>
          <w:tab w:val="num" w:pos="1440"/>
        </w:tabs>
        <w:ind w:left="1440" w:hanging="1440"/>
      </w:pPr>
      <w:rPr>
        <w:rFonts w:hint="default"/>
        <w:color w:val="auto"/>
        <w:u w:val="none"/>
      </w:rPr>
    </w:lvl>
    <w:lvl w:ilvl="6">
      <w:start w:val="1"/>
      <w:numFmt w:val="decimal"/>
      <w:lvlText w:val="%1.%2.%3.%4.%5.%6.%7."/>
      <w:lvlJc w:val="left"/>
      <w:pPr>
        <w:tabs>
          <w:tab w:val="num" w:pos="1440"/>
        </w:tabs>
        <w:ind w:left="1440" w:hanging="1440"/>
      </w:pPr>
      <w:rPr>
        <w:rFonts w:hint="default"/>
        <w:color w:val="auto"/>
        <w:u w:val="none"/>
      </w:rPr>
    </w:lvl>
    <w:lvl w:ilvl="7">
      <w:start w:val="1"/>
      <w:numFmt w:val="decimal"/>
      <w:lvlText w:val="%1.%2.%3.%4.%5.%6.%7.%8."/>
      <w:lvlJc w:val="left"/>
      <w:pPr>
        <w:tabs>
          <w:tab w:val="num" w:pos="1800"/>
        </w:tabs>
        <w:ind w:left="1800" w:hanging="1800"/>
      </w:pPr>
      <w:rPr>
        <w:rFonts w:hint="default"/>
        <w:color w:val="auto"/>
        <w:u w:val="none"/>
      </w:rPr>
    </w:lvl>
    <w:lvl w:ilvl="8">
      <w:start w:val="1"/>
      <w:numFmt w:val="decimal"/>
      <w:lvlText w:val="%1.%2.%3.%4.%5.%6.%7.%8.%9."/>
      <w:lvlJc w:val="left"/>
      <w:pPr>
        <w:tabs>
          <w:tab w:val="num" w:pos="1800"/>
        </w:tabs>
        <w:ind w:left="1800" w:hanging="1800"/>
      </w:pPr>
      <w:rPr>
        <w:rFonts w:hint="default"/>
        <w:color w:val="auto"/>
        <w:u w:val="none"/>
      </w:rPr>
    </w:lvl>
  </w:abstractNum>
  <w:abstractNum w:abstractNumId="4">
    <w:nsid w:val="18714D4A"/>
    <w:multiLevelType w:val="multilevel"/>
    <w:tmpl w:val="1DB61500"/>
    <w:lvl w:ilvl="0">
      <w:start w:val="1"/>
      <w:numFmt w:val="decimal"/>
      <w:lvlText w:val="%1."/>
      <w:lvlJc w:val="left"/>
      <w:pPr>
        <w:tabs>
          <w:tab w:val="num" w:pos="1069"/>
        </w:tabs>
        <w:ind w:left="1069" w:hanging="360"/>
      </w:pPr>
      <w:rPr>
        <w:rFonts w:hint="default"/>
      </w:rPr>
    </w:lvl>
    <w:lvl w:ilvl="1">
      <w:start w:val="1"/>
      <w:numFmt w:val="decimal"/>
      <w:lvlText w:val="%1.%2."/>
      <w:lvlJc w:val="left"/>
      <w:pPr>
        <w:tabs>
          <w:tab w:val="num" w:pos="1854"/>
        </w:tabs>
        <w:ind w:left="1854" w:hanging="7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1232"/>
        </w:tabs>
        <w:ind w:left="11232" w:hanging="2160"/>
      </w:pPr>
      <w:rPr>
        <w:rFonts w:hint="default"/>
      </w:rPr>
    </w:lvl>
  </w:abstractNum>
  <w:abstractNum w:abstractNumId="5">
    <w:nsid w:val="233C6D1C"/>
    <w:multiLevelType w:val="singleLevel"/>
    <w:tmpl w:val="47EA7442"/>
    <w:lvl w:ilvl="0">
      <w:start w:val="1"/>
      <w:numFmt w:val="decimal"/>
      <w:lvlText w:val="%1."/>
      <w:lvlJc w:val="left"/>
      <w:pPr>
        <w:tabs>
          <w:tab w:val="num" w:pos="1494"/>
        </w:tabs>
        <w:ind w:left="1494" w:hanging="360"/>
      </w:pPr>
      <w:rPr>
        <w:rFonts w:ascii="Arial" w:hAnsi="Arial" w:cs="Arial" w:hint="default"/>
      </w:rPr>
    </w:lvl>
  </w:abstractNum>
  <w:abstractNum w:abstractNumId="6">
    <w:nsid w:val="327E4ABF"/>
    <w:multiLevelType w:val="singleLevel"/>
    <w:tmpl w:val="9A1A6782"/>
    <w:lvl w:ilvl="0">
      <w:start w:val="1"/>
      <w:numFmt w:val="upperRoman"/>
      <w:lvlText w:val="%1."/>
      <w:lvlJc w:val="left"/>
      <w:pPr>
        <w:tabs>
          <w:tab w:val="num" w:pos="1429"/>
        </w:tabs>
        <w:ind w:left="1429" w:hanging="720"/>
      </w:pPr>
      <w:rPr>
        <w:rFonts w:hint="default"/>
      </w:rPr>
    </w:lvl>
  </w:abstractNum>
  <w:abstractNum w:abstractNumId="7">
    <w:nsid w:val="3BDD51B7"/>
    <w:multiLevelType w:val="singleLevel"/>
    <w:tmpl w:val="4BF0B2E0"/>
    <w:lvl w:ilvl="0">
      <w:start w:val="1"/>
      <w:numFmt w:val="decimal"/>
      <w:lvlText w:val="%1."/>
      <w:lvlJc w:val="left"/>
      <w:pPr>
        <w:tabs>
          <w:tab w:val="num" w:pos="1069"/>
        </w:tabs>
        <w:ind w:left="1069" w:hanging="360"/>
      </w:pPr>
      <w:rPr>
        <w:rFonts w:hint="default"/>
      </w:rPr>
    </w:lvl>
  </w:abstractNum>
  <w:abstractNum w:abstractNumId="8">
    <w:nsid w:val="3C4868E5"/>
    <w:multiLevelType w:val="singleLevel"/>
    <w:tmpl w:val="D27A107A"/>
    <w:lvl w:ilvl="0">
      <w:start w:val="1"/>
      <w:numFmt w:val="upperRoman"/>
      <w:lvlText w:val="%1."/>
      <w:lvlJc w:val="left"/>
      <w:pPr>
        <w:tabs>
          <w:tab w:val="num" w:pos="1429"/>
        </w:tabs>
        <w:ind w:left="1429" w:hanging="720"/>
      </w:pPr>
      <w:rPr>
        <w:rFonts w:ascii="Arial" w:hAnsi="Arial" w:cs="Arial" w:hint="default"/>
      </w:rPr>
    </w:lvl>
  </w:abstractNum>
  <w:abstractNum w:abstractNumId="9">
    <w:nsid w:val="3CC63D04"/>
    <w:multiLevelType w:val="singleLevel"/>
    <w:tmpl w:val="E6C0F890"/>
    <w:lvl w:ilvl="0">
      <w:start w:val="1"/>
      <w:numFmt w:val="upperRoman"/>
      <w:lvlText w:val="%1."/>
      <w:lvlJc w:val="left"/>
      <w:pPr>
        <w:tabs>
          <w:tab w:val="num" w:pos="1429"/>
        </w:tabs>
        <w:ind w:left="1429" w:hanging="720"/>
      </w:pPr>
      <w:rPr>
        <w:rFonts w:hint="default"/>
      </w:rPr>
    </w:lvl>
  </w:abstractNum>
  <w:abstractNum w:abstractNumId="10">
    <w:nsid w:val="51B71AEB"/>
    <w:multiLevelType w:val="singleLevel"/>
    <w:tmpl w:val="DF1823A6"/>
    <w:lvl w:ilvl="0">
      <w:start w:val="1"/>
      <w:numFmt w:val="upperRoman"/>
      <w:lvlText w:val="%1."/>
      <w:lvlJc w:val="left"/>
      <w:pPr>
        <w:tabs>
          <w:tab w:val="num" w:pos="1429"/>
        </w:tabs>
        <w:ind w:left="1429" w:hanging="720"/>
      </w:pPr>
      <w:rPr>
        <w:rFonts w:hint="default"/>
      </w:rPr>
    </w:lvl>
  </w:abstractNum>
  <w:abstractNum w:abstractNumId="11">
    <w:nsid w:val="61E277E4"/>
    <w:multiLevelType w:val="singleLevel"/>
    <w:tmpl w:val="5336C1D6"/>
    <w:lvl w:ilvl="0">
      <w:start w:val="1"/>
      <w:numFmt w:val="decimal"/>
      <w:lvlText w:val="%1."/>
      <w:lvlJc w:val="left"/>
      <w:pPr>
        <w:tabs>
          <w:tab w:val="num" w:pos="1069"/>
        </w:tabs>
        <w:ind w:left="1069" w:hanging="360"/>
      </w:pPr>
      <w:rPr>
        <w:rFonts w:hint="default"/>
      </w:rPr>
    </w:lvl>
  </w:abstractNum>
  <w:abstractNum w:abstractNumId="12">
    <w:nsid w:val="6361590F"/>
    <w:multiLevelType w:val="multilevel"/>
    <w:tmpl w:val="B046E650"/>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854"/>
        </w:tabs>
        <w:ind w:left="1854" w:hanging="7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482"/>
        </w:tabs>
        <w:ind w:left="4482" w:hanging="108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7110"/>
        </w:tabs>
        <w:ind w:left="7110" w:hanging="144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738"/>
        </w:tabs>
        <w:ind w:left="9738" w:hanging="1800"/>
      </w:pPr>
      <w:rPr>
        <w:rFonts w:hint="default"/>
      </w:rPr>
    </w:lvl>
    <w:lvl w:ilvl="8">
      <w:start w:val="1"/>
      <w:numFmt w:val="decimal"/>
      <w:lvlText w:val="%1.%2.%3.%4.%5.%6.%7.%8.%9."/>
      <w:lvlJc w:val="left"/>
      <w:pPr>
        <w:tabs>
          <w:tab w:val="num" w:pos="11232"/>
        </w:tabs>
        <w:ind w:left="11232" w:hanging="2160"/>
      </w:pPr>
      <w:rPr>
        <w:rFonts w:hint="default"/>
      </w:rPr>
    </w:lvl>
  </w:abstractNum>
  <w:num w:numId="1">
    <w:abstractNumId w:val="6"/>
  </w:num>
  <w:num w:numId="2">
    <w:abstractNumId w:val="8"/>
  </w:num>
  <w:num w:numId="3">
    <w:abstractNumId w:val="7"/>
  </w:num>
  <w:num w:numId="4">
    <w:abstractNumId w:val="2"/>
  </w:num>
  <w:num w:numId="5">
    <w:abstractNumId w:val="10"/>
  </w:num>
  <w:num w:numId="6">
    <w:abstractNumId w:val="5"/>
  </w:num>
  <w:num w:numId="7">
    <w:abstractNumId w:val="9"/>
  </w:num>
  <w:num w:numId="8">
    <w:abstractNumId w:val="1"/>
  </w:num>
  <w:num w:numId="9">
    <w:abstractNumId w:val="11"/>
  </w:num>
  <w:num w:numId="10">
    <w:abstractNumId w:val="12"/>
  </w:num>
  <w:num w:numId="11">
    <w:abstractNumId w:val="4"/>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65"/>
  <w:drawingGridVerticalSpacing w:val="44"/>
  <w:displayHorizontalDrawingGridEvery w:val="0"/>
  <w:displayVerticalDrawingGridEvery w:val="0"/>
  <w:characterSpacingControl w:val="doNotCompress"/>
  <w:doNotValidateAgainstSchema/>
  <w:doNotDemarcateInvalidXml/>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390"/>
    <w:rsid w:val="00120390"/>
    <w:rsid w:val="00B80AE2"/>
    <w:rsid w:val="00CA003D"/>
    <w:rsid w:val="00F53C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D5A11A-412B-4D5D-8393-A7F7DBF7A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2"/>
      <w:szCs w:val="22"/>
      <w:lang w:val="ru-RU" w:eastAsia="ru-RU"/>
    </w:rPr>
  </w:style>
  <w:style w:type="paragraph" w:styleId="1">
    <w:name w:val="heading 1"/>
    <w:basedOn w:val="a"/>
    <w:next w:val="a"/>
    <w:link w:val="10"/>
    <w:uiPriority w:val="99"/>
    <w:qFormat/>
    <w:pPr>
      <w:keepNext/>
      <w:jc w:val="center"/>
      <w:outlineLvl w:val="0"/>
    </w:pPr>
    <w:rPr>
      <w:b/>
      <w:bCs/>
      <w:sz w:val="24"/>
      <w:szCs w:val="24"/>
    </w:rPr>
  </w:style>
  <w:style w:type="paragraph" w:styleId="2">
    <w:name w:val="heading 2"/>
    <w:basedOn w:val="a"/>
    <w:next w:val="a"/>
    <w:link w:val="20"/>
    <w:uiPriority w:val="99"/>
    <w:qFormat/>
    <w:pPr>
      <w:keepNext/>
      <w:jc w:val="center"/>
      <w:outlineLvl w:val="1"/>
    </w:pPr>
    <w:rPr>
      <w:b/>
      <w:bCs/>
      <w:sz w:val="48"/>
      <w:szCs w:val="48"/>
    </w:rPr>
  </w:style>
  <w:style w:type="paragraph" w:styleId="3">
    <w:name w:val="heading 3"/>
    <w:basedOn w:val="a"/>
    <w:next w:val="a"/>
    <w:link w:val="30"/>
    <w:uiPriority w:val="99"/>
    <w:qFormat/>
    <w:pPr>
      <w:keepNext/>
      <w:jc w:val="center"/>
      <w:outlineLvl w:val="2"/>
    </w:pPr>
    <w:rPr>
      <w:b/>
      <w:bCs/>
      <w:sz w:val="28"/>
      <w:szCs w:val="28"/>
    </w:rPr>
  </w:style>
  <w:style w:type="paragraph" w:styleId="4">
    <w:name w:val="heading 4"/>
    <w:basedOn w:val="a"/>
    <w:next w:val="a"/>
    <w:link w:val="40"/>
    <w:uiPriority w:val="99"/>
    <w:qFormat/>
    <w:pPr>
      <w:keepNext/>
      <w:spacing w:line="360" w:lineRule="auto"/>
      <w:ind w:firstLine="709"/>
      <w:jc w:val="both"/>
      <w:outlineLvl w:val="3"/>
    </w:pPr>
    <w:rPr>
      <w:sz w:val="24"/>
      <w:szCs w:val="24"/>
      <w:u w:val="single"/>
    </w:rPr>
  </w:style>
  <w:style w:type="paragraph" w:styleId="5">
    <w:name w:val="heading 5"/>
    <w:basedOn w:val="a"/>
    <w:next w:val="a"/>
    <w:link w:val="50"/>
    <w:uiPriority w:val="99"/>
    <w:qFormat/>
    <w:pPr>
      <w:keepNext/>
      <w:jc w:val="center"/>
      <w:outlineLvl w:val="4"/>
    </w:pPr>
    <w:rPr>
      <w:sz w:val="28"/>
      <w:szCs w:val="28"/>
    </w:rPr>
  </w:style>
  <w:style w:type="paragraph" w:styleId="6">
    <w:name w:val="heading 6"/>
    <w:basedOn w:val="a"/>
    <w:next w:val="a"/>
    <w:link w:val="60"/>
    <w:uiPriority w:val="99"/>
    <w:qFormat/>
    <w:pPr>
      <w:keepNext/>
      <w:spacing w:line="360" w:lineRule="auto"/>
      <w:ind w:firstLine="709"/>
      <w:jc w:val="center"/>
      <w:outlineLvl w:val="5"/>
    </w:pPr>
    <w:rPr>
      <w:color w:val="0000FF"/>
      <w:u w:val="single"/>
    </w:rPr>
  </w:style>
  <w:style w:type="paragraph" w:styleId="7">
    <w:name w:val="heading 7"/>
    <w:basedOn w:val="a"/>
    <w:next w:val="a"/>
    <w:link w:val="70"/>
    <w:uiPriority w:val="99"/>
    <w:qFormat/>
    <w:pPr>
      <w:keepNext/>
      <w:tabs>
        <w:tab w:val="left" w:pos="6521"/>
      </w:tabs>
      <w:spacing w:line="360" w:lineRule="auto"/>
      <w:ind w:left="709"/>
      <w:jc w:val="center"/>
      <w:outlineLvl w:val="6"/>
    </w:pPr>
    <w:rPr>
      <w:b/>
      <w:bCs/>
      <w:sz w:val="24"/>
      <w:szCs w:val="24"/>
    </w:rPr>
  </w:style>
  <w:style w:type="paragraph" w:styleId="8">
    <w:name w:val="heading 8"/>
    <w:basedOn w:val="a"/>
    <w:next w:val="a"/>
    <w:link w:val="80"/>
    <w:uiPriority w:val="99"/>
    <w:qFormat/>
    <w:pPr>
      <w:keepNext/>
      <w:spacing w:line="360" w:lineRule="auto"/>
      <w:ind w:firstLine="709"/>
      <w:jc w:val="center"/>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21">
    <w:name w:val="Body Text 2"/>
    <w:basedOn w:val="a"/>
    <w:link w:val="22"/>
    <w:uiPriority w:val="99"/>
    <w:pPr>
      <w:spacing w:line="360" w:lineRule="auto"/>
      <w:ind w:firstLine="709"/>
      <w:jc w:val="both"/>
    </w:pPr>
    <w:rPr>
      <w:lang w:val="en-US"/>
    </w:rPr>
  </w:style>
  <w:style w:type="character" w:customStyle="1" w:styleId="22">
    <w:name w:val="Основной текст 2 Знак"/>
    <w:link w:val="21"/>
    <w:uiPriority w:val="99"/>
    <w:semiHidden/>
    <w:rPr>
      <w:rFonts w:ascii="Arial" w:eastAsia="Times New Roman" w:hAnsi="Arial" w:cs="Arial"/>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Arial" w:eastAsia="Times New Roman" w:hAnsi="Arial" w:cs="Arial"/>
    </w:rPr>
  </w:style>
  <w:style w:type="character" w:styleId="a5">
    <w:name w:val="page number"/>
    <w:uiPriority w:val="99"/>
  </w:style>
  <w:style w:type="paragraph" w:styleId="a6">
    <w:name w:val="Document Map"/>
    <w:basedOn w:val="a"/>
    <w:link w:val="a7"/>
    <w:uiPriority w:val="99"/>
    <w:pPr>
      <w:shd w:val="clear" w:color="auto" w:fill="000080"/>
    </w:pPr>
  </w:style>
  <w:style w:type="character" w:customStyle="1" w:styleId="a7">
    <w:name w:val="Схема документа Знак"/>
    <w:link w:val="a6"/>
    <w:uiPriority w:val="99"/>
    <w:semiHidden/>
    <w:rPr>
      <w:rFonts w:ascii="Tahoma" w:eastAsia="Times New Roman" w:hAnsi="Tahoma" w:cs="Tahoma"/>
      <w:sz w:val="16"/>
      <w:szCs w:val="16"/>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Arial" w:eastAsia="Times New Roman" w:hAnsi="Arial" w:cs="Arial"/>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20207</Words>
  <Characters>11518</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Денежная система и денежный рынок</vt:lpstr>
    </vt:vector>
  </TitlesOfParts>
  <Company>Fobos</Company>
  <LinksUpToDate>false</LinksUpToDate>
  <CharactersWithSpaces>31662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Денежная система и денежный рынок</dc:title>
  <dc:subject/>
  <dc:creator>Ахметзянова</dc:creator>
  <cp:keywords/>
  <dc:description/>
  <cp:lastModifiedBy>admin</cp:lastModifiedBy>
  <cp:revision>2</cp:revision>
  <cp:lastPrinted>1998-04-14T16:51:00Z</cp:lastPrinted>
  <dcterms:created xsi:type="dcterms:W3CDTF">2014-01-27T20:38:00Z</dcterms:created>
  <dcterms:modified xsi:type="dcterms:W3CDTF">2014-01-27T20:38:00Z</dcterms:modified>
</cp:coreProperties>
</file>