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1367" w:rsidRDefault="00D31367">
      <w:pPr>
        <w:pStyle w:val="2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Таможня и тенденции</w:t>
      </w:r>
    </w:p>
    <w:p w:rsidR="00D31367" w:rsidRDefault="00D31367">
      <w:pPr>
        <w:ind w:firstLine="720"/>
        <w:jc w:val="both"/>
        <w:rPr>
          <w:color w:val="000000"/>
        </w:rPr>
      </w:pPr>
      <w:r>
        <w:rPr>
          <w:color w:val="000000"/>
        </w:rPr>
        <w:t xml:space="preserve">Китайская таможня, как и российская, состоит из больших по размеру, постов первого класса (тоже, что и головной офис в России), расположенных в основных перевалочных пунктах, таких как Гродеково-Суйфенхе, Забайкальск-Манжоули и т.д. Остальные таможенные посты в Китае расположены в населенных пунктах меньшего размера и относятся ко второму классу. В России этому соответствуют таможенные отделы. В отдельных случаях статистика может представляться более мелкими (второго класса) таможенными пунктами, или же включаться в отчеты более крупного таможенного поста под "общей шапкой". Например, по маршруту через Гродеково-Суйфенхе проходит большой объем бревен по железной дороге через станцию Гродеково и одновременно грузовики провозят древесину через другой таможенный пункт, расположенный на шоссейной дороге, которая позволяет доставлять мелкие партии к десяткам местным лесопилкам, действующим на территории района Суйфенхе. Как правило, поезда с древесиной из Гродеково сортируются и перепродаются на станции Суйфенхе и зачастую напрямую идут во внутренние районы Китая. Еще одна специфическая особенность, присущая для этого пограничного пункта - это отсутствие склада древесины в Пограничном-Гродеково. Почти все поезда с древесиной загружаются в других местах далеко отсюда и проверяются другими таможенными пунктами. Может быть так, что кедр из района озера Байкал или ясень/дуб, поступающие в Дальнереченск или Бикин, были погружены и проверены на складах древесины в Лесозаводске-Марково. Как правило, также, торговый контракт бывает уже заключен, так что древесина, поступающая в Гродеково, зачастую уже принадлежит Китайскому покупателю. </w:t>
      </w:r>
    </w:p>
    <w:p w:rsidR="00D31367" w:rsidRDefault="00D31367">
      <w:pPr>
        <w:pStyle w:val="a3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Стоит отметить, что в некоторых пунктах, таких как Ксунке и Хиайин, импорт бревен начался недавно, причем нелегальные рубки и экспорт с Дальнего Востока приняли большой размах, а объем экспорта значительно вырос. С другой стороны через такие пункты, как Тонгйянг, Хулин, Мишан и Донгнинг, через которые в 1996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г. ввезли более чем 4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000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  <w:lang w:val="ru-RU"/>
        </w:rPr>
        <w:t>3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после 1997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г. ввоз древесины не увеличился. Имеется ряд различных причин существования этого феномена, которые были вскрыты активистами Неправительственных Организаций (НПО) в ходе специального полевого исследования, включавшего серию рейдов по борьбе с браконьерством. По причине усовершенствования криминальных моделей незаконных рубок, дальнейшей легализации и продажи незаконно заготовленной древесины на территории Сихоте-Алиня, недалеко от Суйфенхе, например в Новопокровке, Дальнереченске, Бикине и Лесозаводске, стало легче попадать на эту территорию извне - с древесиной или только с разрешениями на рубку - и доставлять ее китайскому или российскому экспортеру-оптовику за определенную необлагаемую налогом плату. Мы встречали здесь таких торговцев и документы из Амурской области, Хабаровского и Красноярского краев. В результате объем экспорта через малые пункты на Амуре несколько снизился за последний год, по крайней мере, согласно статистике, тогда как общий объем экспорта через три главных пункта, включая Гродеково-Суйфенхе, увеличился на 1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500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000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  <w:lang w:val="ru-RU"/>
        </w:rPr>
        <w:t>3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Значительная часто этого потока состоит из наиболее ценных пород дуба, ясеня и сосны корейской, которые зачастую заготавливаются с рядом нарушений в водоохранной и кормовой зонах диких животных по поддельным документам. </w:t>
      </w:r>
    </w:p>
    <w:p w:rsidR="00D31367" w:rsidRDefault="00D31367">
      <w:pPr>
        <w:pStyle w:val="a3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Проблема отслеживания экспорта лиственных пород, в основном, вызывается отсутствием отдельного пункта для такой породы как ясень в статистике российской таможни. Таки образом, эту породу легко можно выдать за любую другую менее ценную древесину. Также дело обстоит и в Китае. Другая сторона этой проблемы - малое число таможенников, способных проверять и идентифицировать ясень и дуб в груде бревен в ж/д вагоне или лесовозе. Поэтому по лиственным породам данные и российской и китайской таможен не могут считаться достаточно достоверными. По данным России через одну только таможню Приморья экспортировалось около 490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000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  <w:lang w:val="ru-RU"/>
        </w:rPr>
        <w:t>3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лиственных пород в 2000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г., тогда как китайская таможня показывает только 443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000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  <w:lang w:val="ru-RU"/>
        </w:rPr>
        <w:t>3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общего импорта лиственных. И недостающие 50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000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  <w:lang w:val="ru-RU"/>
        </w:rPr>
        <w:t>3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не покрываются объемами ввоза через малые таможенные посты за пределами Приморья, такие как Хейхе (только 1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800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  <w:lang w:val="ru-RU"/>
        </w:rPr>
        <w:t>3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) или Тонгйянг (349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  <w:lang w:val="ru-RU"/>
        </w:rPr>
        <w:t>3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). Дополнительные сомнения касаются прошлых лет, когда данные Китая значительно превышали российские показатели. Наиболее очевидным объяснением такого расхождения является то, что лиственные породы экспортируются из России и ввозятся в Китай либо как древесина для производства целлюлозы, либо как другая порода. Или же через малые отдаленные пограничные пункты на реке Амур, что полностью не поддается никакому контролю или документальному засвидетельствованию. В районе этих пунктах, расположенных на незаселенных территориях, в основном, возле границы, как например Пашково-Сагибово с российской стороны и Хиайин с китайской, Игнашино-Мохе, Халинда-Райнсанг, ведутся, по некоторым непроверенным источинкам, мелкомасшатабные рубки и контрабанда. </w:t>
      </w:r>
    </w:p>
    <w:p w:rsidR="00D31367" w:rsidRDefault="00D31367">
      <w:pPr>
        <w:jc w:val="both"/>
        <w:rPr>
          <w:color w:val="000000"/>
        </w:rPr>
      </w:pPr>
      <w:bookmarkStart w:id="0" w:name="_GoBack"/>
      <w:bookmarkEnd w:id="0"/>
    </w:p>
    <w:sectPr w:rsidR="00D31367">
      <w:pgSz w:w="11907" w:h="16840" w:code="9"/>
      <w:pgMar w:top="1418" w:right="1134" w:bottom="1418" w:left="1134" w:header="720" w:footer="720" w:gutter="0"/>
      <w:cols w:space="708"/>
      <w:docGrid w:linePitch="28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105"/>
  <w:drawingGridVerticalSpacing w:val="143"/>
  <w:displayHorizontalDrawingGridEvery w:val="0"/>
  <w:displayVerticalDrawingGridEvery w:val="2"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34D76"/>
    <w:rsid w:val="0034239E"/>
    <w:rsid w:val="00534D76"/>
    <w:rsid w:val="00CD393B"/>
    <w:rsid w:val="00D31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386A729-5FFF-4848-8C5F-8C4B3E58A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sz w:val="24"/>
      <w:szCs w:val="24"/>
      <w:lang w:val="ru-RU" w:eastAsia="en-US"/>
    </w:rPr>
  </w:style>
  <w:style w:type="paragraph" w:styleId="2">
    <w:name w:val="heading 2"/>
    <w:basedOn w:val="a"/>
    <w:link w:val="20"/>
    <w:uiPriority w:val="99"/>
    <w:qFormat/>
    <w:pPr>
      <w:spacing w:before="100" w:beforeAutospacing="1" w:after="100" w:afterAutospacing="1"/>
      <w:outlineLvl w:val="1"/>
    </w:pPr>
    <w:rPr>
      <w:b/>
      <w:bCs/>
      <w:color w:val="00000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rFonts w:ascii="Verdana" w:hAnsi="Verdana" w:cs="Verdana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3154</Words>
  <Characters>1799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Таможня и тенденции</vt:lpstr>
    </vt:vector>
  </TitlesOfParts>
  <Company>R-Style</Company>
  <LinksUpToDate>false</LinksUpToDate>
  <CharactersWithSpaces>4944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Таможня и тенденции</dc:title>
  <dc:subject/>
  <dc:creator>Andrew Gabov</dc:creator>
  <cp:keywords/>
  <dc:description/>
  <cp:lastModifiedBy>admin</cp:lastModifiedBy>
  <cp:revision>2</cp:revision>
  <dcterms:created xsi:type="dcterms:W3CDTF">2014-01-27T09:56:00Z</dcterms:created>
  <dcterms:modified xsi:type="dcterms:W3CDTF">2014-01-27T09:56:00Z</dcterms:modified>
</cp:coreProperties>
</file>