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A56" w:rsidRDefault="005567F9">
      <w:pPr>
        <w:pStyle w:val="Z16"/>
        <w:jc w:val="center"/>
      </w:pPr>
      <w:r>
        <w:t>Финансы в России</w:t>
      </w:r>
    </w:p>
    <w:p w:rsidR="00EF7A56" w:rsidRDefault="00EF7A56">
      <w:pPr>
        <w:pStyle w:val="Mystyle"/>
      </w:pPr>
    </w:p>
    <w:p w:rsidR="00EF7A56" w:rsidRDefault="005567F9">
      <w:pPr>
        <w:pStyle w:val="Z14"/>
      </w:pPr>
      <w:r>
        <w:t>Сущность и структура финансового рынка</w:t>
      </w:r>
    </w:p>
    <w:p w:rsidR="00EF7A56" w:rsidRDefault="005567F9">
      <w:pPr>
        <w:pStyle w:val="Mystyle"/>
      </w:pPr>
      <w:r>
        <w:t>Финансовый рынок – это сфера проявления экономических отношений между продавцами и покупателями финансовых (денежных) ресурсов и инвестиционных ценностей (то есть инструментов образования финансовых ресурсов), между их стоимостью и потребительной стоимости.</w:t>
      </w:r>
    </w:p>
    <w:p w:rsidR="00EF7A56" w:rsidRDefault="005567F9">
      <w:pPr>
        <w:pStyle w:val="Mystyle"/>
      </w:pPr>
      <w:r>
        <w:t xml:space="preserve">Финансовый ранок состоит из системы рынков: валютного, ценных бумаг, ссудных капиталов или денежного, золота. Финансовый рынок представляет собой организованную или неформальную систему торговли финансовыми инструментами. На этом рынке происходит обмен деньгами, предоставление кредита и мобилизация капитала. Основную роль здесь играют финансовые институты, направляющие потоки денежных средств от собственников к заемщиком. Товаром выступают собственно деньги и ценные бумаги. Как и любой рынок, финансовый рынок предназначен для установления непосредственных контактов между покупателями и продавцами финансовых ресурсов. </w:t>
      </w:r>
    </w:p>
    <w:p w:rsidR="00EF7A56" w:rsidRDefault="005567F9">
      <w:pPr>
        <w:pStyle w:val="Mystyle"/>
      </w:pPr>
      <w:r>
        <w:t>Понятие «финансовая система» является развитием более общего понятия «финансы». В каждом звене финансов отношения проявляются по-разному, имеют свою специфику. Каждое звено финансов определенным образом влияет на процесс воспроизводства, имеет свои, присущие ему функции.</w:t>
      </w:r>
    </w:p>
    <w:p w:rsidR="00EF7A56" w:rsidRDefault="005567F9">
      <w:pPr>
        <w:pStyle w:val="Mystyle"/>
      </w:pPr>
      <w:r>
        <w:t>Финансы предприятий обслуживают материальное производства. При их участии создается ВВП, распределяемый внутри предприятия и отраслей хозяйства. Через государственный бюджет мобилизуются ресурсы в основной централизованный фонд государства, и происходит перераспределение средств между отраслями хозяйства, экономическими регионами, отдельными социальными группами населения. Внебюджетные специальные фонды имеют строго целевое назначение. Фонды страхования предназначены для возмещения ущерба, нанесенного стихийными бедствиями предприятиям и населению, а по личному страхованию – выплаты застрахованному лицу или его семье материального обеспечения при наступлении страхового случая.</w:t>
      </w:r>
    </w:p>
    <w:p w:rsidR="00EF7A56" w:rsidRDefault="005567F9">
      <w:pPr>
        <w:pStyle w:val="Mystyle"/>
      </w:pPr>
      <w:r>
        <w:t>Таким образом, каждое звено финансовой системы представляет собой определенную сферу финансовых отношений, а финансовая система в целом – совокупность различных сфер финансовых отношений, в процессе которых образуются и используются фонды денежных средств. Финансовая система – это система форм и методов образования, распределения и использования фондов денежных средств государства и предприятий.</w:t>
      </w:r>
    </w:p>
    <w:p w:rsidR="00EF7A56" w:rsidRDefault="005567F9">
      <w:pPr>
        <w:pStyle w:val="Mystyle"/>
      </w:pPr>
      <w:r>
        <w:t>Финансовая система Российской Федерации включает следующие звенья финансовых отношений:</w:t>
      </w:r>
    </w:p>
    <w:p w:rsidR="00EF7A56" w:rsidRDefault="005567F9">
      <w:pPr>
        <w:pStyle w:val="Mystyle"/>
      </w:pPr>
      <w:r>
        <w:t>государственную бюджетную систему;</w:t>
      </w:r>
    </w:p>
    <w:p w:rsidR="00EF7A56" w:rsidRDefault="005567F9">
      <w:pPr>
        <w:pStyle w:val="Mystyle"/>
      </w:pPr>
      <w:r>
        <w:t>внебюджетные специальные фонды;</w:t>
      </w:r>
    </w:p>
    <w:p w:rsidR="00EF7A56" w:rsidRDefault="005567F9">
      <w:pPr>
        <w:pStyle w:val="Mystyle"/>
      </w:pPr>
      <w:r>
        <w:t>государственный кредит;</w:t>
      </w:r>
    </w:p>
    <w:p w:rsidR="00EF7A56" w:rsidRDefault="005567F9">
      <w:pPr>
        <w:pStyle w:val="Mystyle"/>
      </w:pPr>
      <w:r>
        <w:t>фонды страхования;</w:t>
      </w:r>
    </w:p>
    <w:p w:rsidR="00EF7A56" w:rsidRDefault="005567F9">
      <w:pPr>
        <w:pStyle w:val="Mystyle"/>
      </w:pPr>
      <w:r>
        <w:t>финансы предприятий различных форм собственности.</w:t>
      </w:r>
    </w:p>
    <w:p w:rsidR="00EF7A56" w:rsidRDefault="005567F9">
      <w:pPr>
        <w:pStyle w:val="Mystyle"/>
      </w:pPr>
      <w:r>
        <w:t>Первые три  блока финансовых отношений относятся к централизованным финансам и используются для регулирования экономики и социальных отношений на макроуровне. Финансовые отношения предприятий относятся к децентрализованным финансам и используются для регулирования и стимулирования экономики и социальных отношений на микроуровне.</w:t>
      </w:r>
    </w:p>
    <w:p w:rsidR="00EF7A56" w:rsidRDefault="00EF7A56">
      <w:pPr>
        <w:pStyle w:val="Mystyle"/>
      </w:pPr>
    </w:p>
    <w:p w:rsidR="00EF7A56" w:rsidRDefault="005567F9">
      <w:pPr>
        <w:pStyle w:val="Z14"/>
      </w:pPr>
      <w:r>
        <w:t>Государственная бюджетная система Российской Федерации.</w:t>
      </w:r>
    </w:p>
    <w:p w:rsidR="00EF7A56" w:rsidRDefault="005567F9">
      <w:pPr>
        <w:pStyle w:val="Mystyle"/>
      </w:pPr>
      <w:r>
        <w:t>В 1991 году бюджетная система Российской Федерации претерпела кардинальные изменения. До этого государственный бюджет Российской Федерации, как и других союзных республик, включался в государственный бюджет СССР, в котором отражались все бюджеты на территории страны, в том числе сельские и поселковые. Он состоял из союзного бюджета, государственных бюджетов 15 союзных республик и бюджета государственного социального страхования.</w:t>
      </w:r>
    </w:p>
    <w:p w:rsidR="00EF7A56" w:rsidRDefault="005567F9">
      <w:pPr>
        <w:pStyle w:val="Mystyle"/>
      </w:pPr>
      <w:r>
        <w:t>В соответствии с Законом РСФСР «Об основах бюджетного устройства и бюджетного процесса в РСФСР» от 10 октября 1991 года и рядом других законов и постановлений Правительства Российской Федерации государственная бюджетная система России было коренным образом перестроена и в настоящее время включает три звена:</w:t>
      </w:r>
    </w:p>
    <w:p w:rsidR="00EF7A56" w:rsidRDefault="005567F9">
      <w:pPr>
        <w:pStyle w:val="Mystyle"/>
      </w:pPr>
      <w:r>
        <w:t>республиканский бюджет Российской Федерации или федеральный бюджет;</w:t>
      </w:r>
    </w:p>
    <w:p w:rsidR="00EF7A56" w:rsidRDefault="005567F9">
      <w:pPr>
        <w:pStyle w:val="Mystyle"/>
      </w:pPr>
      <w:r>
        <w:t>бюджеты национально-государственных и административно-территориальных образований, к которым относятся республиканские бюджеты республик в составе Российской Федерации, краевые, областные бюджеты, бюджеты автономных областей, автономных округов и городские бюджеты Москвы и Санкт-Петербурга. Это бюджеты субъектов Федерации;</w:t>
      </w:r>
    </w:p>
    <w:p w:rsidR="00EF7A56" w:rsidRDefault="005567F9">
      <w:pPr>
        <w:pStyle w:val="Mystyle"/>
      </w:pPr>
      <w:r>
        <w:t>местные бюджеты.</w:t>
      </w:r>
    </w:p>
    <w:p w:rsidR="00EF7A56" w:rsidRDefault="005567F9">
      <w:pPr>
        <w:pStyle w:val="Mystyle"/>
      </w:pPr>
      <w:r>
        <w:t>Все эти бюджеты функционируют автономно. Местные бюджеты своими доходами и расходами не входят в бюджеты территорий, а последние не включаются в Федеральный республиканский бюджет.</w:t>
      </w:r>
    </w:p>
    <w:p w:rsidR="00EF7A56" w:rsidRDefault="005567F9">
      <w:pPr>
        <w:pStyle w:val="Mystyle"/>
      </w:pPr>
      <w:r>
        <w:t>Таким образом, структура бюджетной системы Российской Федерации приближена к структуре бюджетных систем западных стран.</w:t>
      </w:r>
    </w:p>
    <w:p w:rsidR="00EF7A56" w:rsidRDefault="00EF7A56">
      <w:pPr>
        <w:pStyle w:val="Mystyle"/>
      </w:pPr>
    </w:p>
    <w:p w:rsidR="00EF7A56" w:rsidRDefault="005567F9">
      <w:pPr>
        <w:pStyle w:val="Z14"/>
      </w:pPr>
      <w:r>
        <w:t>Внебюджетные специальные фонды.</w:t>
      </w:r>
    </w:p>
    <w:p w:rsidR="00EF7A56" w:rsidRDefault="005567F9">
      <w:pPr>
        <w:pStyle w:val="Mystyle"/>
      </w:pPr>
      <w:r>
        <w:t>Второе звено финансовой системы – внебюджетные фонды. В 1993 году насчитывалось более 20 внебюджетных фондов, в том числе – 4 социальных и остальные фонды производственного назначения. Внебюджетные фонды имеют строго долевое назначение – расширить социальные услуги населению, стимулировать развитие отсталых отраслей инфраструктуры, обеспечить дополнительными ресурсами приоритетные отрасли экономики.</w:t>
      </w:r>
    </w:p>
    <w:p w:rsidR="00EF7A56" w:rsidRDefault="005567F9">
      <w:pPr>
        <w:pStyle w:val="Mystyle"/>
      </w:pPr>
      <w:r>
        <w:t>Важнейший среди социальных фондов – Пенсионный фонд, средства которого формируются за счет страховых взносов работодателей и работающих, дотации из федерального бюджета и ресурсов, получаемых от собственных инвестиций фонда. Средства Пенсионного фонда используются на выплату пенсий по возрасту, инвалидности, по случаю потери кормильца, за выслугу лет, социальных пенсий, а также пособий на детей, пострадавших на Чернобыльской АЭС. Доходы бюджета Пенсионного фонда Российской Федерации на 1996 год утверждены в сумме 163,1 трлн. рублей. Из них 137,3 трлн. рублей приходятся на страховые взносы. Основная часть расходов Пенсионного фонда (88% от общей суммы расходов) направляется на выплату трудовых пенсий.</w:t>
      </w:r>
    </w:p>
    <w:p w:rsidR="00EF7A56" w:rsidRDefault="005567F9">
      <w:pPr>
        <w:pStyle w:val="Mystyle"/>
      </w:pPr>
      <w:r>
        <w:t>К социальным фондам относятся также Фонд социального страхования, Государственный фонд занятости населения, Федеральный и территориальный фонды обязательного медицинского страхования.</w:t>
      </w:r>
    </w:p>
    <w:p w:rsidR="00EF7A56" w:rsidRDefault="005567F9">
      <w:pPr>
        <w:pStyle w:val="Mystyle"/>
      </w:pPr>
      <w:r>
        <w:t xml:space="preserve">В соответствии с Указом Президента от 22 декабря 1993 года «О формировании республиканского бюджета в Российской Федерации и взаимоотношениях с бюджетами Российской Федерации» №2268 в целях усиления контроля за расходование государственных финансовых ресурсов в республиканском бюджете Российской Федерации должны быть консолидированы все государственные внебюджетные фонды, доходы которых формируются за счет обязательных платежей предприятий, учреждений и организаций, за исключением Пенсионного фонда, Фонда социального страхования и Фонда обязательного медицинского страхования с сохранением целевой направленности консолидируемых фондов. Органам государственной власти субъектов Российской Федерации рекомендовано консолидировать в бюджетах национально-государственных и административно-территориальных образований аналогичные региональные внебюджетные фонды. </w:t>
      </w:r>
    </w:p>
    <w:p w:rsidR="00EF7A56" w:rsidRDefault="00EF7A56">
      <w:pPr>
        <w:pStyle w:val="Mystyle"/>
      </w:pPr>
    </w:p>
    <w:p w:rsidR="00EF7A56" w:rsidRDefault="005567F9">
      <w:pPr>
        <w:pStyle w:val="Z14"/>
      </w:pPr>
      <w:r>
        <w:t>Государство и финансовые рынки в Российской Федерации.</w:t>
      </w:r>
    </w:p>
    <w:p w:rsidR="00EF7A56" w:rsidRDefault="005567F9">
      <w:pPr>
        <w:pStyle w:val="Mystyle"/>
      </w:pPr>
      <w:r>
        <w:t>Три-четыре года назад существовало распространенное мнение, что финансовая система представляет собой некое автономно-суверенное образование, благополучие которого никоим образом не зависим (или зависит крайне мало) от состояния других сфер экономической жизни общества. Более того, падкий на миражи агрессивной рекламы и охочий до высоких дивидендов, наивный и жадный российский обыватель убежден, что на фоне общего экономического спада именно в сфере финансов наблюдается устойчивый рост. Впрочем, такая абстракция массового экономического сознания, всегда склонного выдавать желаемое за действительное, понятна. Любопытно иное. А именно то, что еще в недавнем прошлом эту иллюзию разделяли многие специалисты, полагавшие, будто можно без ущерба для общего дела сначала заняться укреплением финансовой системы, а уж затем перейти к стабилизации и подъему промышленного и сельскохозяйственного производства. О том же, что финансовая система представляет собой часть более общего системного целого, почему-то «забыли». Так же, как запамятовали о другом. Традиционно основной экономической функцией и основным источником прибыли банков и других финансовых институтов в странах с развитой рыночной экономикой является не игра на фондовом рынке, а систематическое кредитование крупных промышленных, торговых и сельскохозяйственных предприятий – основных клиентов банков и финансовых компаний, в экономическом благополучии которых они кровно заинтересованы.</w:t>
      </w:r>
    </w:p>
    <w:p w:rsidR="00EF7A56" w:rsidRDefault="005567F9">
      <w:pPr>
        <w:pStyle w:val="Mystyle"/>
      </w:pPr>
      <w:r>
        <w:t>На протяжении 1993-1995 годов неуклонно сокращалось производство на отечественных предприятиях. В результате непродуманной налоговой политики уже к 1994 году промышленные предприятия в массе своей не только «проели» оборотный капитал, но и в ряде случаев их задолженность превысила стоимость основных фондов. А сельскохозяйственные производители в силу длительности оборотного цикла выбыли из сферы рентабельного банковского кредитования еще раньше. Одновременно снижались рентабельность, скорость и объемы оборота импортных операций, последовательно падала рентабельность торговой деятельности как таковой из-за уменьшения емкости внутреннего рынка и платежеспособного спроса на нем. Однако процесс сокращения сфера рентабельности хозяйственной деятельности и вытеснения за ее рамки ценных категорий хозяйствующих субъектов имел существенно разные результаты для производственной сферы и для финансового капитала. Если в результате накопления кризисных факторов производственные предприятия просто останавливались или существенно сокращали производство, то для субъектов финансового рынка достаточно своевременно оказалась сформирована ниша, обеспечившая их псевдорентабельное функционирование. Начиная с весны 1994 года практически единственной сферой достаточно надежного массового применения финансового капитала, кроме рентабельных в целом спекулятивных операций с валютой, стал фондовый рынок. Помимо объективного развития ситуации в экономике, вытеснению финансового капитала на фондовый рынок содействовала налоговая политика Министерства финансов, которое на фоне резкого ужесточения фискального законодательства, освободило от обложения налогами доходы от операций с государственными ценными бумагами, с первую очередь с ГКО. Наиболее надежные ценные бумаги на фондовом рынке оказались одновременно и самыми доходными (последнее – неизвестная мировой практике новация российских финансистов). Кроме того, после перехода приватизации в «денежную» фазу на финансовом рынке появился новый товар – корпоративные ценные бумаги, которые немедленно стали предметом финансовых спекуляций. Таким образом, беспрецедентный масштаб денежных средств, изъятых из обращения в экономике в виду ее общей нерентабельности, и налоговые льготы на фондовом рынке привели к значительным финансовым вложениям в спекуляции с ценными бумагами. Доходность операций с некоторыми видами ценных бумаг, например на внебиржевом рынке достигала 3000-3500%.</w:t>
      </w:r>
    </w:p>
    <w:p w:rsidR="00EF7A56" w:rsidRDefault="005567F9">
      <w:pPr>
        <w:pStyle w:val="Mystyle"/>
      </w:pPr>
      <w:r>
        <w:t>Совокупное действие процессов:</w:t>
      </w:r>
    </w:p>
    <w:p w:rsidR="00EF7A56" w:rsidRDefault="005567F9">
      <w:pPr>
        <w:pStyle w:val="Mystyle"/>
      </w:pPr>
      <w:r>
        <w:t>сворачивание производящих секторов экономики;</w:t>
      </w:r>
    </w:p>
    <w:p w:rsidR="00EF7A56" w:rsidRDefault="005567F9">
      <w:pPr>
        <w:pStyle w:val="Mystyle"/>
      </w:pPr>
      <w:r>
        <w:t>сокращение инвестиционной составляющей финансового капитала;</w:t>
      </w:r>
    </w:p>
    <w:p w:rsidR="00EF7A56" w:rsidRDefault="005567F9">
      <w:pPr>
        <w:pStyle w:val="Mystyle"/>
      </w:pPr>
      <w:r>
        <w:t>перенос большинством субъектов финансового рынка основной активности в сферу спекуляций с ценными бумагами</w:t>
      </w:r>
    </w:p>
    <w:p w:rsidR="00EF7A56" w:rsidRDefault="005567F9">
      <w:pPr>
        <w:pStyle w:val="Mystyle"/>
      </w:pPr>
      <w:r>
        <w:t>обусловило формирование в отечественной экономике тенденции глобальной спекулятизации финансового капитала.</w:t>
      </w:r>
    </w:p>
    <w:p w:rsidR="00EF7A56" w:rsidRDefault="005567F9">
      <w:pPr>
        <w:pStyle w:val="Mystyle"/>
      </w:pPr>
      <w:r>
        <w:t>Капитал, действующий на финансовом рынке, всегда предполагает выделение некоторой его части для спекулятивной игры на курсовой стоимости ценных бумаг. Тем не менее основа функционирования здоровой финансовой системы – инвестиции в реальное производство и, естественно, основная доля капитала субъекта финансового рынка предназначена для непосредственной инвестиционной деятельности. Однако в условиях сворачивания отечественного производства и вытеснения из него финансового капитала последний неуклонно сокращает свою инвестиционную составляющую, наращивая спекулятивную. В настоящее время чрезвычайно сложно оценить удельный вес спекулятивной составляющей российского частного финансового капитала, однако по некоторым подсчетам, она не может сыть менее 60% (что само по себе достаточно опасно). Характерно, что сейчас практически все инструменты фондового и денежного рынков по большей части утратили функцию обеспечения инвестиционной деятельности и используются преимущественно для обеспечения спекулятивного оборота капитала. Так, корпоративные ценные бумаги при нынешней модели приватизации обеспечивают поступление денежных ресурсов предприятиям – эмитентам в минимально возможных объемах, оставляя основную долю привлекаемого капитала во вторичном, спекулятивном обороте на фондовом рынке. Субъекты фондового рынка в настоящее время полностью ориентированы в качестве источника доходов от ценных бумаг не на дивиденд от прибыли хозяйствующего субъекта (как это принято в нормальной экономике), а на рост курсовой (то есть спекулятивной) стоимости акций. Вексельное и иное привлечение банками средств вкладчиков имеет целью опять-таки преимущественно расширение игры на фондовом и денежном рынках. Даже государство в лице Министерства финансов, выступая на денежном рынке в качестве эмитента ценных бумаг, вынуждено было ориентироваться на построение тривиальной «финансовой пирамиды», чтобы минимизировать бюджетные расходы на погашение внутреннего долга.</w:t>
      </w:r>
    </w:p>
    <w:p w:rsidR="00EF7A56" w:rsidRDefault="005567F9">
      <w:pPr>
        <w:pStyle w:val="Mystyle"/>
      </w:pPr>
      <w:r>
        <w:t>Уже с осени 1994 года субъекты российского финансового рынка в своей деятельности на фондовом и денежном рынках четко сориентировались исключительно на два источника платежеспособного спроса, платежеспособность которых не зависит от инфляции:</w:t>
      </w:r>
    </w:p>
    <w:p w:rsidR="00EF7A56" w:rsidRDefault="005567F9">
      <w:pPr>
        <w:pStyle w:val="Mystyle"/>
      </w:pPr>
      <w:r>
        <w:t>на государство, «сидящее» на печатном станке, в части работы с государственными ценными бумагами;</w:t>
      </w:r>
    </w:p>
    <w:p w:rsidR="00EF7A56" w:rsidRDefault="005567F9">
      <w:pPr>
        <w:pStyle w:val="Mystyle"/>
      </w:pPr>
      <w:r>
        <w:t>на иностранного инвестора, конечный спрос которого определяет конъюнктуру на рынке валютных облигаций и корпоративных бумаг.</w:t>
      </w:r>
    </w:p>
    <w:p w:rsidR="00EF7A56" w:rsidRDefault="005567F9">
      <w:pPr>
        <w:pStyle w:val="Mystyle"/>
      </w:pPr>
      <w:r>
        <w:t>Таким образом, российский финансовый рынок в настоящее время может сыть охарактеризован как преимущественно спекулятивный с в силу объективных причин не связанный с инвестициями в реальное производство.</w:t>
      </w:r>
    </w:p>
    <w:p w:rsidR="00EF7A56" w:rsidRDefault="005567F9">
      <w:pPr>
        <w:pStyle w:val="Mystyle"/>
      </w:pPr>
      <w:r>
        <w:t>Сворачивание инвестиций и одновременно расширение объемов операций на фондовом и денежном рынках означает формирование тенденции накопления денежных ресурсов в национальной валюте в колоссальном спекулятивном масштабе. Будучи никак не связан с реальным производством и не обеспечен материальными активами, финансовый капитал в этой ситуации превращается просто в «воздух» (откуда и эффект любой спекуляции – деньги возникают как бы из ничего, из воздуха).</w:t>
      </w:r>
    </w:p>
    <w:p w:rsidR="00EF7A56" w:rsidRDefault="005567F9">
      <w:pPr>
        <w:pStyle w:val="Mystyle"/>
      </w:pPr>
      <w:r>
        <w:t>Сказанное выше позволяет сделать несколько основных выводов о характере финансового рынка, сложившегося в России в период попыток проведения рыночных реформ.</w:t>
      </w:r>
    </w:p>
    <w:p w:rsidR="00EF7A56" w:rsidRDefault="005567F9">
      <w:pPr>
        <w:pStyle w:val="Mystyle"/>
      </w:pPr>
      <w:r>
        <w:t>Основной проблемой финансового рынка России стало неуклонно снижающееся товарное обеспечение национальной валюты вследствие непрерывного сокращения национального производства.</w:t>
      </w:r>
    </w:p>
    <w:p w:rsidR="00EF7A56" w:rsidRDefault="005567F9">
      <w:pPr>
        <w:pStyle w:val="Mystyle"/>
      </w:pPr>
      <w:r>
        <w:t>Наличие двух основных источников денежных ресурсов – государственный бюджет и внешние рынки – обеспечило двойственность российской финансовой системы: на внутренне рынке она имеет характер финансово-фондовой распределительной системы, а при обеспечении экспортно-импортного оборота обретает черты механизма конвертации экспортных ресурсов в импортные товары народного потребления.</w:t>
      </w:r>
    </w:p>
    <w:p w:rsidR="00EF7A56" w:rsidRDefault="005567F9">
      <w:pPr>
        <w:pStyle w:val="Mystyle"/>
      </w:pPr>
      <w:r>
        <w:t>Непрерывное снижение капиталоемкости экономики и ее товарность привело к формированию спекулятивного характера финансовой системы, в первую очередь ее денежного и фондового рынков.</w:t>
      </w:r>
    </w:p>
    <w:p w:rsidR="00EF7A56" w:rsidRDefault="005567F9">
      <w:pPr>
        <w:pStyle w:val="Mystyle"/>
      </w:pPr>
      <w:r>
        <w:t>Основным условием функционирования нынешней финансовой системы, учитывая реальные интересы ее участников, является непрерывное расширение централизованной денежной эмиссии. Поскольку для последней поводом становится ликвидация дефицита денежной массы вследствие роста инфляции, нынешняя финансовая система предполагает для своего существования непрерывный рост инфляции, способной обеспечить масштабный рост денежных ресурсов без непосредственного инвестирования хозяйственной деятельности.</w:t>
      </w:r>
    </w:p>
    <w:p w:rsidR="00EF7A56" w:rsidRDefault="005567F9">
      <w:pPr>
        <w:pStyle w:val="Mystyle"/>
      </w:pPr>
      <w:r>
        <w:t>Нынешний финансовый рынок не ориентирован на инвестирование национального производства и не способен (в силу ряда причин) его осуществлять в приемлемых масштабах.</w:t>
      </w:r>
    </w:p>
    <w:p w:rsidR="00EF7A56" w:rsidRDefault="005567F9">
      <w:pPr>
        <w:pStyle w:val="Mystyle"/>
      </w:pPr>
      <w:r>
        <w:t>Характер сложившегося финансового рынка достаточно быстро превращает большинство антиинфляционных механизмов в механизмы раскручивания инфляции. Так, например, ГКО, предназначавшиеся первоначально для регулирования размера денежной массы на денежном ранке, превратились в механизм скрытой, внебюджетной денежной эмиссии.</w:t>
      </w:r>
    </w:p>
    <w:p w:rsidR="00EF7A56" w:rsidRDefault="00EF7A56">
      <w:pPr>
        <w:pStyle w:val="Mystyle"/>
      </w:pPr>
    </w:p>
    <w:p w:rsidR="00EF7A56" w:rsidRDefault="005567F9">
      <w:pPr>
        <w:pStyle w:val="Mystyle"/>
      </w:pPr>
      <w:r>
        <w:t xml:space="preserve">При подготовке этой работы были использованы материалы с сайта </w:t>
      </w:r>
      <w:hyperlink r:id="rId5" w:history="1">
        <w:r>
          <w:rPr>
            <w:rStyle w:val="ab"/>
          </w:rPr>
          <w:t>http://www.studentu.ru</w:t>
        </w:r>
      </w:hyperlink>
      <w:r>
        <w:t xml:space="preserve"> </w:t>
      </w:r>
    </w:p>
    <w:p w:rsidR="00EF7A56" w:rsidRDefault="00EF7A56">
      <w:pPr>
        <w:pStyle w:val="Mystyle"/>
      </w:pPr>
      <w:bookmarkStart w:id="0" w:name="_GoBack"/>
      <w:bookmarkEnd w:id="0"/>
    </w:p>
    <w:sectPr w:rsidR="00EF7A56">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313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15679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7EB7F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A2B3413"/>
    <w:multiLevelType w:val="singleLevel"/>
    <w:tmpl w:val="02B0727E"/>
    <w:lvl w:ilvl="0">
      <w:start w:val="1"/>
      <w:numFmt w:val="decimal"/>
      <w:lvlText w:val="%1."/>
      <w:lvlJc w:val="left"/>
      <w:pPr>
        <w:tabs>
          <w:tab w:val="num" w:pos="1080"/>
        </w:tabs>
        <w:ind w:left="1080" w:hanging="360"/>
      </w:pPr>
      <w:rPr>
        <w:rFonts w:hint="default"/>
      </w:rPr>
    </w:lvl>
  </w:abstractNum>
  <w:abstractNum w:abstractNumId="4">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6">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7">
    <w:nsid w:val="48C20F50"/>
    <w:multiLevelType w:val="multilevel"/>
    <w:tmpl w:val="2612E540"/>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9">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10">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1">
    <w:nsid w:val="6013108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6"/>
  </w:num>
  <w:num w:numId="2">
    <w:abstractNumId w:val="4"/>
  </w:num>
  <w:num w:numId="3">
    <w:abstractNumId w:val="10"/>
  </w:num>
  <w:num w:numId="4">
    <w:abstractNumId w:val="5"/>
  </w:num>
  <w:num w:numId="5">
    <w:abstractNumId w:val="9"/>
  </w:num>
  <w:num w:numId="6">
    <w:abstractNumId w:val="8"/>
  </w:num>
  <w:num w:numId="7">
    <w:abstractNumId w:val="11"/>
  </w:num>
  <w:num w:numId="8">
    <w:abstractNumId w:val="1"/>
  </w:num>
  <w:num w:numId="9">
    <w:abstractNumId w:val="2"/>
  </w:num>
  <w:num w:numId="10">
    <w:abstractNumId w:val="0"/>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7F9"/>
    <w:rsid w:val="005567F9"/>
    <w:rsid w:val="00655094"/>
    <w:rsid w:val="00EF7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5037DC-5621-4A09-8AF0-4FBB5A5AE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40" w:lineRule="auto"/>
    </w:pPr>
    <w:rPr>
      <w:rFonts w:ascii="Times New Roman" w:hAnsi="Times New Roman" w:cs="Times New Roman"/>
      <w:sz w:val="24"/>
      <w:szCs w:val="24"/>
      <w:lang w:val="en-US"/>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basedOn w:val="a0"/>
    <w:link w:val="2"/>
    <w:uiPriority w:val="9"/>
    <w:semiHidden/>
    <w:rPr>
      <w:rFonts w:asciiTheme="majorHAnsi" w:eastAsiaTheme="majorEastAsia" w:hAnsiTheme="majorHAnsi" w:cstheme="majorBidi"/>
      <w:b/>
      <w:bCs/>
      <w:i/>
      <w:iCs/>
      <w:sz w:val="28"/>
      <w:szCs w:val="28"/>
      <w:lang w:val="en-US"/>
    </w:rPr>
  </w:style>
  <w:style w:type="character" w:customStyle="1" w:styleId="30">
    <w:name w:val="Заголовок 3 Знак"/>
    <w:aliases w:val="h3 Знак"/>
    <w:basedOn w:val="a0"/>
    <w:link w:val="3"/>
    <w:uiPriority w:val="9"/>
    <w:semiHidden/>
    <w:rPr>
      <w:rFonts w:asciiTheme="majorHAnsi" w:eastAsiaTheme="majorEastAsia" w:hAnsiTheme="majorHAnsi" w:cstheme="majorBidi"/>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basedOn w:val="a0"/>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basedOn w:val="a0"/>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basedOn w:val="a0"/>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basedOn w:val="a0"/>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basedOn w:val="a0"/>
    <w:link w:val="a6"/>
    <w:uiPriority w:val="99"/>
    <w:semiHidden/>
    <w:rPr>
      <w:rFonts w:ascii="Times New Roman" w:hAnsi="Times New Roman" w:cs="Times New Roman"/>
      <w:sz w:val="24"/>
      <w:szCs w:val="24"/>
      <w:lang w:val="en-US"/>
    </w:rPr>
  </w:style>
  <w:style w:type="character" w:customStyle="1" w:styleId="a8">
    <w:name w:val="номер страницы"/>
    <w:basedOn w:val="a3"/>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basedOn w:val="a0"/>
    <w:link w:val="a9"/>
    <w:uiPriority w:val="99"/>
    <w:semiHidden/>
    <w:rPr>
      <w:rFonts w:ascii="Times New Roman" w:hAnsi="Times New Roman" w:cs="Times New Roman"/>
      <w:sz w:val="24"/>
      <w:szCs w:val="24"/>
      <w:lang w:val="en-US"/>
    </w:rPr>
  </w:style>
  <w:style w:type="character" w:styleId="ab">
    <w:name w:val="Hyperlink"/>
    <w:basedOn w:val="a3"/>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12"/>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udent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2383</Words>
  <Characters>13588</Characters>
  <Application>Microsoft Office Word</Application>
  <DocSecurity>0</DocSecurity>
  <Lines>113</Lines>
  <Paragraphs>31</Paragraphs>
  <ScaleCrop>false</ScaleCrop>
  <Company>ГУУ</Company>
  <LinksUpToDate>false</LinksUpToDate>
  <CharactersWithSpaces>15940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2014-01-30T15:53:00Z</dcterms:created>
  <dcterms:modified xsi:type="dcterms:W3CDTF">2014-01-30T15:53:00Z</dcterms:modified>
</cp:coreProperties>
</file>