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253" w:rsidRDefault="007C7253">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Качество жизни</w:t>
      </w:r>
    </w:p>
    <w:p w:rsidR="007C7253" w:rsidRDefault="007C7253">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Доклад по управлению качеством и сертификации товаров</w:t>
      </w:r>
    </w:p>
    <w:p w:rsidR="007C7253" w:rsidRDefault="007C7253">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Докладчики студенты группы М-95-1 Четвериков С.В.Гусева И.К.</w:t>
      </w:r>
    </w:p>
    <w:p w:rsidR="007C7253" w:rsidRDefault="007C7253">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МИНИСТЕРСТВО ВЫСШЕГО И ПРОФЕССИОНАЛЬНОГО ОБРАЗОВАНИЯ</w:t>
      </w:r>
    </w:p>
    <w:p w:rsidR="007C7253" w:rsidRDefault="007C7253">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ИРКУТСКАЯ ГОСУДАРСТВЕННАЯ ЭКОНОМИЧЕСКАЯ АКАДЕМИЯ</w:t>
      </w:r>
    </w:p>
    <w:p w:rsidR="007C7253" w:rsidRDefault="007C7253">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КАФЕДРА ЭКОНОМИКИ ПРИРОДОПОЛЬЗОВАНИЯ</w:t>
      </w:r>
    </w:p>
    <w:p w:rsidR="007C7253" w:rsidRDefault="007C7253">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ИРКУТСК 1998</w:t>
      </w:r>
    </w:p>
    <w:p w:rsidR="007C7253" w:rsidRDefault="007C7253">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ВВЕДЕНИЕ</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Под качеством жизни в современных концепциях качества за рубежом понимают комплексную характеристику социально-экономических, политических, культурно-идеологических, экологических факторов и условий существования личности, положения человека в обществе.</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Концепция качества жизни – это современное продолжение интеллектуальных поисков, начатых Тейяром де Шарденом и В.И. Бернадским, которые ввели в научный обиход понятие «ноосфера», ставшее ныне одним из терминов словаря по социально-экономической статистике: «Ноосфера – сфера разумно организованного взаимодействия общества и природы. Биосфера превращается в ноосферу при целенаправленной деятельности человечества путем реализации мер по рациональному природопользованию».</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концепцию качества жизни, принятую в постиндустриальных обществах, включены ограничения на удовлетворение потребностей людей, обеспечивающие гармоничное развитие ноосферы. К этим ограничениям относятся:</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Охрана окружающей среды;</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Забота о безопасности производств и продукции;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Поддержание ресурсного потенциала страны.</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то же время центральными задачами в концепции качества жизни провозглашаются:</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обеспечение физического и морального здоровья общества;</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расширение употребления населением экологически чистых продуктов питания;</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гармонизация условия труда и т.д.</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 литературе понятия «качество жизни» и «уровень жизни» нередко переплетаются и подменяют друг друга, что не вполне корректно. При этом уровень жизни определяется как показатель, характеризующий количество и качество товаров и услуг, потребляемых в стране.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Говоря о качестве жизни, нередко легко переходят к таким количественных характеристикам уровня жизни, как потребительская корзина. Данное понятие в современном словаре рыночных терминов означает набор товаров-представителей в заданных количествах с фиксируемыми ценами. Определяя уровень жизни, к потребительской корзине добавляют показатели смертности населения, общеобразовательный уровень и т.п., решая фактически частные проблемы качества жизни, и не давая четкого определения самому понятию.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статье А.И.Субетто процессы управления качеством жизни сопрягаются с выживаемостью человечества, а сам термин автор определяет как систему духовных, материальных, социокультурных, экологических и демографических качеств (компонентов жизни).</w:t>
      </w:r>
    </w:p>
    <w:p w:rsidR="007C7253" w:rsidRDefault="007C7253">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НЕМНОГО ИСТОРИИ В ПОДХОДАХ К КАЧЕСТВУ ЖИЗНИ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Категория качества жизни впервые была введена в научный оборот в 60-х годах нынешнего столетия в связи с попытками моделирования зарубежными исследователями траекторий промышленного развития. Разработка категории качества жизни так или иначе нашла свое отражение в ряде публикаций 80-х годов за рубежом.</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90-е годы проблему защиты прав потребителей и интересов общества все чаще рассматривают с позиций качества жизни, причем включают в это понятие обеспечение рабочими местами, доход, гарантирующий определенный уровень благосостояния, определенное качество медицинского обслуживания, основных социальных услуг. Кроме того, качество жизни предполагает возможность для всех членов общества участвовать в принятии жизненно важных решений и использование возможностей, предоставляемых социальными, экономическими и политическими свободами.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июле 1993 г. в Маастрахите на международной конференции HUSITA-3</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Впервые был обсужден еще одни аспект данной концепции: влияние на качество жизни и сферу услуг современных информационных технологий.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“Качество во имя лучшей жизни” закономерно стало девизом конференций, проводимых в последние годы с связи с Всемирным днем качества, а также серии статей, публикация которых начата в 1994 г. журналом “Стандарты и качество” и будет продолжена.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«Качество как категория будущего» провозглашено в статье Э.М.Вексоера, причем уместно приведены цитаты: из Гегеля – «Качество есть, в первую очередь, тождественная с бытием определенность» и Е. Рерих – «Нужно понять, что в основании эволюции лежит усовершенствование». Современный же взгляд на качество выражен автором указанной статьи в короткой формулировке: «Качество – сущность явления жизни». Но с этим трудно согласиться, так как в таком определении сведены в одно философские категории явления и сущности объекта.</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На мой взгляд, все существующие подходы к определению качества жизни и созданию концептуальных представлений  об эффективном процессе управления качеством жизни страдают недостаточностью философского осмысления проблемы, а также отсутствием строгого нормативного подхода к формулировке и определениям в рамках проблемы обеспечения качества жизни.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Пришло время поиска единой целостной концепции взглядов на качество жизни.</w:t>
      </w:r>
    </w:p>
    <w:p w:rsidR="007C7253" w:rsidRDefault="007C7253">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ДЛЯ ЧЕГО НУЖНО УПРАВЛЯТЬ КАЧЕСТВОМ ЖИЗНИ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 июне 1992 года в Рио-де-Жанейро проходила Конференция ООН по окружающей среде и развитию, где делегации многих стран возглавляли главы государств. Важнейшим итогом этой конференции стало признание того, что развивающиеся страны не должны повторять пути стран развитых. Если развивающиеся страны, в которых живет более трех четвертей населения земного шара, используют те же модель развития, человечество придет к неминуемому краху. Генеральный секретарь Конференции ООН Морис Стронг константирвоал6 « Процессы экономического роста, которые порождают беспрецедентный уровень благополучия и мощи богатого меньшинства, ведут одновременно к рискам и дисбалансам, в одинаковой мере угрожающим и богатым, и бедным. Такие модели развития и соответствующие им характер производства и потребления не являются устойчивыми для богатых и не могут быть повторены бедными. Следование по этому пути может привести нашу цивилизацию к краху». Премьер-министр Норвегии Гру Харлем Брундтланд подчеркнула: «История человечества достигла водораздела, за которым изменение политики становится неизбежны. Более миллиарда человек, не имеющих сегодня возможности удовлетворять свои основные потребности, наши собственные дети и внуки и сама планета Земля требуют революции.»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Итоги Конференции ООН являются первым документально оформленным сигналом для человечества о том, что существует императив выживаемости, который требует отказа от прежних моделей развития мировой цивилизации и перехода на модель управляемой социоприродной эволюции. Такая постановка проблемы заставляет обратиться к категории качества жизни, впервые введенной в научный оборот Джоном Гэлбертом и Форрестером в 60-х годах в связи с попытками моделирования траекторий промышленной динамики.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А.И. Субетто определяет качество жизни как систему качеств духовных, материальных, социокультурных, экологических и демографических компонентов жизни. В этой системе выявляется уровень реализации родовых сил человека, творческий смысл его жизни. Причем в соответствии с учением о трех родах качества – предметно-вещественном, функциональном и системно-социальном раскрываются и индивидуальное, и общественно качества жизни, разнообразие потребностей человека, потенциал его всестороннего, гармонического, творческого развития.</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Три рода качества жизни – это как бы несколько ее «срезов»: предметно-вещественных, который позволяет рассмотреть биолого-физические и материальные аспекты качества жизни, функциональных , - с его помощью можно оценить жизнь в точки зрения потребностей и способностей человека во взаимодействии с социально-экономическими, культурными и экологическими «пространствами», системно-социальный – раскрывает качество самих «пространств».</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Категория качества становится символом прогресса и выживаемости цивилизации. При этом происходит преодоление традиционных представлений о качестве товара, качестве труда, качестве работы и качестве продукции, широко используемых в системах управления качеством. Появляются понятия качества человека, качества жизни, качества общественного интеллекта, качества управления, качества систем «человек-техника», качества информации.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ООН ежегодно проводить исследования с целью ранжирования стран мира по индексу «качества жизни» (глобальный уровень управления качеством). В качестве главных индикаторов используются: ожидаемая продолжительность жизни, уровень образования и покупательная способность населения.</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Американская некоммерческая организация «Комитет по демографическому кризису» проводит исследования качества жизни в 10 крупнейших городах мира по 10 показателям: стоимость питания, жилищные условия, качество жилья, связь, образование, здравоохранение, тишина, уличное движение, чистота воздуха, общественная безопасность. По данным на 1990 год самыми лучшими для жизни по всем показателям оказались Мельбурн, Монреаль, Сиэтл-Такома, набравшие в суме 86 баллов и более. Достаточно высокие оценки получили Москва (64 балла), Санкт-Петербург (62), Киев (74 балла.). Наихудшим было качество жизни в столиц Нигерии Лагосе (19 баллов). Конечно, это были только первые и пока еще достаточно робкие шаги, в общей тенденции становления будущей глобальной системы мониторинга качества жизни.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Качество жизни как система включает в себя качество человека, качество образования, качество культуры, качество среды обитания (экологии), качество социальной, экономической и политической организации общества.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Здоровье – синтетический индикатор качества При этом в соответствии с представлением Всемирной организации здравоохранения категория здоровья включает в себя категории физического, психического, духовного и социального здоровья. Кроме здоровья, интегральными индикаторами выступают: уровень качества среды, качество образования и его доступность для населения, качество населения – система демографических показателей, качество культуры - культурологические измерители качества жизни (индикаторы доступности для населения – детей, молодежи, зрелого населения, стариков – театра, музыки, кино, живописи, библиотек и др.; особым индикатором качества культуры личности и качества интеллекта выступает разнообразие «речевого языка» и динамичность чтения).</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Управление качеством жизни, таким образом, включает в себя управление развитием качества личности на основе процессов социализации, в первую очередь в рамках семьи и образования, управление качеством среды жизни, управление качеством образования, управление качеством развития населения, управление качеством здоровья населения и др. Речь идет о «мягком» управлении, опирающемся на методологическую базу всего комплекса системных наук, учения о цикличности развития, экологии, науки об образовании, педагогики, человековедения, квалитологии и квалиметрии. </w:t>
      </w:r>
    </w:p>
    <w:p w:rsidR="007C7253" w:rsidRDefault="007C7253">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СОСТАВЛЯЮЩИЕ КАЧЕСТВА ЖИЗНИ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Существует понятие «социального кругооборота качества»: качество человека – качество труда – качество производства – качество технологий – качество образования – качество культуры и качество науки – качество управления – качество социальных и экономических систем – качество жизни – качество человека. Управление качеством жизни с позиций категории качества жизни интегрирует все виды «управлений качеством» и может рассматриваться как своеобразное управление «социальным кругооборотом качества». В данной части доклада я рассмотрю только некоторые составляющие качества жизни. Остальные же хорошо рассмотрены в других докладах.</w:t>
      </w:r>
    </w:p>
    <w:p w:rsidR="007C7253" w:rsidRDefault="007C7253">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 КАЧЕСТВЕ ОБРАЗОВАНИЯ</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Интеллектуальная революция. Происходит интеллектуализация производительных сил. Творчество становится главной функцией управления. По данным профессора Р.Фостера, профессии творческого труда на 1981-1986 гг. имели удельный вес: в США – 73%, Германии – 70%, Великобритании – 73%, Японии – 70%. Появляется креативный инновационный менеджмент как форма управления фирмами, ориентированная на раскрытие творчества, создание инновационного потенциала, разработку стратегий «поведение на рынке» с целевыми установками на «технологические прорывы». Моритани Масанори определяет три фактора успехов японских фирма- исследования, инновации и инвестиции. (три «И»), в которых выражается содержание интеллектно-инновационной революции.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Результатом указанных сдвигов явилась дифференциация мировой экономики на два класса: класс «горячих» и класс «холодных» экономик.</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Класс «горячих экономик» - это класс «быстроходных», интеллетоемких, наукоемких, образовательноемких и информоемких экономик. Их появление – адекватное преобразование экономических механизмов, обеспечивающих ускорение научно-технического прогресса, «быструю» динамику обновления наукоемких и капиталоемких товаров и технологий. В «горячих экономиках» происходит трансформация рыночного механизма, увеличивается роль механизмов планирования, программирования, формирования долгосрочных стратегий в кадровых политиках, маркетинге, инвестиционных политиках, увеличивается централизация банковской системы.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Класс «холодных экономик» – это класс «медленноходных» экономик с низкой восприимчивостью науки и образования, с низким уровнем концентрации капитала. Их технологическим базисом служат традиционные технологии. Мобильность инвестиционного комплекса в таких экономиках остается низкой.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Интеллектно-инновационная революция в первую очередь затронула развитие стран с «горячими экономиками». Интеллектуализация рабочей силы, производительных сил общества в развитых странах сопровождает процесс «разогревания экономик». В крупных экономических структурах – корпорациях, компаниях - появляются внутренние системы образования. Постоянное повышение квалификации персонала компаний становится образом их жизни. В среднем, например, работники </w:t>
      </w:r>
      <w:r>
        <w:rPr>
          <w:rFonts w:ascii="Times New Roman" w:hAnsi="Times New Roman" w:cs="Times New Roman"/>
          <w:color w:val="000000"/>
          <w:lang w:val="en-US"/>
        </w:rPr>
        <w:t>IBM</w:t>
      </w:r>
      <w:r>
        <w:rPr>
          <w:rFonts w:ascii="Times New Roman" w:hAnsi="Times New Roman" w:cs="Times New Roman"/>
          <w:color w:val="000000"/>
        </w:rPr>
        <w:t xml:space="preserve"> затрачивают на образование 5% рабочего времени, специалисты этой же фирмы по сбыту на местах – один месяц в год. Внутренняя система образования обошлась </w:t>
      </w:r>
      <w:r>
        <w:rPr>
          <w:rFonts w:ascii="Times New Roman" w:hAnsi="Times New Roman" w:cs="Times New Roman"/>
          <w:color w:val="000000"/>
          <w:lang w:val="en-US"/>
        </w:rPr>
        <w:t>IBM</w:t>
      </w:r>
      <w:r>
        <w:rPr>
          <w:rFonts w:ascii="Times New Roman" w:hAnsi="Times New Roman" w:cs="Times New Roman"/>
          <w:color w:val="000000"/>
        </w:rPr>
        <w:t xml:space="preserve"> в 600 млн. долларов в год.</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Появление «горячих экономик» определило новый тип конкуренции между государствами мира – конкуренцию по качеству интеллектуальных ресурсов и качеству систем образования. Национальной комиссией США за высшее качество образования был подготовлен доклад «Нация в опасности6 настоятельная необходимость реформы образования», в котором отмечалось резкое возрастание функциональной неграмотности населения (в США каждый третий американец – функционально неграмотный) и ставилась задача резкого повышения массовости и качества образования. Без решения этой задачи США потеряют конкурентоспособность своей экономики к началу </w:t>
      </w:r>
      <w:r>
        <w:rPr>
          <w:rFonts w:ascii="Times New Roman" w:hAnsi="Times New Roman" w:cs="Times New Roman"/>
          <w:color w:val="000000"/>
          <w:lang w:val="en-US"/>
        </w:rPr>
        <w:t>XXI</w:t>
      </w:r>
      <w:r>
        <w:rPr>
          <w:rFonts w:ascii="Times New Roman" w:hAnsi="Times New Roman" w:cs="Times New Roman"/>
          <w:color w:val="000000"/>
        </w:rPr>
        <w:t xml:space="preserve"> века. Кстати, экспорт интеллектуальных ресурсов в США из Европы, России, стран Азии путем избирательной иммиграционной политики – часть стратегий США в рамках конкуренции по качеству общественного интеллекта между странами. </w:t>
      </w:r>
    </w:p>
    <w:p w:rsidR="007C7253" w:rsidRDefault="007C7253">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КАЧЕСТВО ЭКОЛОГИИ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Управление качеством экологии подразумевает управление экологическими рисками. Риск – понятие сложное и неоднозначное. С позиции качества он есть мера появления нежелательного последствия в результате принятия решения. Используя понятие меры, можно сказать, что риск есть мера качества соответствующего решения, проекта, хозяйственного мероприятия, плана, программы и т.п., измеренная в определенной шкале.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Одновременно риск есть понятие управленческое. Оно связано с надежностью и в более широком плане – с качеством управления, выступая мерой несоблюдения определенной «нормы управления», потери эффективности, появления нежелательных последствий.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Экологический риск - сложная категория, отражающая уровень опасности появления нежелательных экологических последствий в результате внедрения того или иного проекта, принятия и реализации определенного хозяйственного мероприятия. Н.Ф. Раймерс определяет экологический риск как возможность появления неустранимых «экологических запретов»: развитие парникового эффекта, разрушение озонового слоя, кислотные осадки, радиоактивное загрязнение, недопустимая концентрация тяжелых металлов.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 литературе предлагается понятие Оценки Экологического Риска (ОЭР), под которым понимается система экологических требований, представленных в параметрической и вербальной форме, используемых при оценке экологического риска. Поскольку с самого начала экологический риск рассматривается как синтетический показатель экологического качества, постольку ОЭР является важнейшим направлением экологической квалиметрии.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Анализ экологической литературы позволил выделить следующие основные темы экологического базиса ОЭР:</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1) Фоновая экологическая норма. Она может быть представлена системой «фоновых показателей», «экологически чистым ландшафтом», «эталонной экосистемой», «фоновой областью» и др.</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2) Стандартизованная экологическая норма. Она может быть представлена системой предельно допустимых концентраций, системой предельно допустимых выбросов, системой предельно допустимых сбросов, системой экологических стандартов.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3) Сложившее экологической состояние, описанное в параметрической и вербальной форме, в форме «категории состояния» или экологической категории на территории, где планируется новая хозяйственная деятельность.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Важнейшим моментом в оценке экологического риска и в управлении экологическим риском является формализация ситуации, в зависимости от которой осуществляется дифференциация требований к исходным данным, объему проводимых исследований и испытаний. Среди направлений такой формализации предлагается введение экологической категории района. Экологическая категория района является комплексной характеристикой экологического качества района, отражающая классификационную характеристику состояний среды обитания, здоровья человека и населения, природы и естественных экосистем, классификационную характеристику состояний отдельных сред. Ниже приводятся две таблицы, позволяющие классифицировать состояние качества экологии.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Классификация экологического качества природы  в природно-экологической шкале</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6237"/>
      </w:tblGrid>
      <w:tr w:rsidR="007C7253" w:rsidRPr="007C7253">
        <w:tc>
          <w:tcPr>
            <w:tcW w:w="3794"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Наименование состояния (качества)</w:t>
            </w:r>
          </w:p>
        </w:tc>
        <w:tc>
          <w:tcPr>
            <w:tcW w:w="6237"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Характеристика</w:t>
            </w:r>
          </w:p>
        </w:tc>
      </w:tr>
      <w:tr w:rsidR="007C7253" w:rsidRPr="007C7253">
        <w:tc>
          <w:tcPr>
            <w:tcW w:w="3794"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1. Естественное состояние</w:t>
            </w:r>
          </w:p>
        </w:tc>
        <w:tc>
          <w:tcPr>
            <w:tcW w:w="6237"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Наблюдается лишь фоновое антропогенное воздействие. Биомасса максимальна. Биологическая продуктивность максимальна.</w:t>
            </w:r>
          </w:p>
        </w:tc>
      </w:tr>
      <w:tr w:rsidR="007C7253" w:rsidRPr="007C7253">
        <w:tc>
          <w:tcPr>
            <w:tcW w:w="3794"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2. Равновесное состояние</w:t>
            </w:r>
          </w:p>
        </w:tc>
        <w:tc>
          <w:tcPr>
            <w:tcW w:w="6237"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Скорость восстановительных процессов выше или равна темпу нарушений. Биологическая продуктивность больше естественной. Биомасса начинает снижаться.</w:t>
            </w:r>
          </w:p>
        </w:tc>
      </w:tr>
      <w:tr w:rsidR="007C7253" w:rsidRPr="007C7253">
        <w:tc>
          <w:tcPr>
            <w:tcW w:w="3794"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3. Кризисное состояние</w:t>
            </w:r>
          </w:p>
        </w:tc>
        <w:tc>
          <w:tcPr>
            <w:tcW w:w="6237"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Антропогенные нарушения превышают по скорости естественно-восстановительные процессы, но сохраняется естественный характер экосистемы. Биомасса снижена. Биологическая продуктивность резко повышена.</w:t>
            </w:r>
          </w:p>
        </w:tc>
      </w:tr>
      <w:tr w:rsidR="007C7253" w:rsidRPr="007C7253">
        <w:tc>
          <w:tcPr>
            <w:tcW w:w="3794"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4. Критическое состояние</w:t>
            </w:r>
          </w:p>
        </w:tc>
        <w:tc>
          <w:tcPr>
            <w:tcW w:w="6237"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Обратимая замена прежде существовавших экологических систем под антропогенным воздействием на менее продуктивные. Биомасса мала и, как правило, снижается.</w:t>
            </w:r>
          </w:p>
        </w:tc>
      </w:tr>
      <w:tr w:rsidR="007C7253" w:rsidRPr="007C7253">
        <w:tc>
          <w:tcPr>
            <w:tcW w:w="3794"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5.Катастрофическое состояние</w:t>
            </w:r>
          </w:p>
        </w:tc>
        <w:tc>
          <w:tcPr>
            <w:tcW w:w="6237"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Труднообратимый процесс закрепления малопродуктивных экосистем. Биомасса и биологическая продуктивность минимальны.</w:t>
            </w:r>
          </w:p>
        </w:tc>
      </w:tr>
      <w:tr w:rsidR="007C7253" w:rsidRPr="007C7253">
        <w:tc>
          <w:tcPr>
            <w:tcW w:w="3794"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6. Состояние коллапса</w:t>
            </w:r>
          </w:p>
        </w:tc>
        <w:tc>
          <w:tcPr>
            <w:tcW w:w="6237"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Необратимая потеря биологической продуктивности. Биомасса стремится к нулю.</w:t>
            </w:r>
          </w:p>
        </w:tc>
      </w:tr>
    </w:tbl>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Классификация экологического качества природы  в медико-социальной шкале</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Таблица 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6946"/>
      </w:tblGrid>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Наименование качества</w:t>
            </w:r>
          </w:p>
        </w:tc>
        <w:tc>
          <w:tcPr>
            <w:tcW w:w="694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Характеристика качества</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1. Благополучная ситуация</w:t>
            </w:r>
          </w:p>
        </w:tc>
        <w:tc>
          <w:tcPr>
            <w:tcW w:w="694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Происходит устойчивый рост продолжительности жизни. Заболеваемость снижается.</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2. Зона напряженной экологической ситуации</w:t>
            </w:r>
          </w:p>
        </w:tc>
        <w:tc>
          <w:tcPr>
            <w:tcW w:w="694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Территория, где отдельные показатели здоровья населения достоверно выше нормы, существующей в аналогичных местах страны, не подвергающихся выраженному антропогенному воздействию данного типа, но это не приводит к заметным и статистически достоверным изменениям продолжительности жизни населения и более ранней инвалидности людей.</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3. Зона экологического бедствия</w:t>
            </w:r>
          </w:p>
        </w:tc>
        <w:tc>
          <w:tcPr>
            <w:tcW w:w="694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 xml:space="preserve">Территория, в пределах которой в результате антропогенного воздействия невозможно социально-экономическое хозяйствование. Смертность и инвалидность значительно выше, продолжительность жизни ниже, чем в других регионах. </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4. Зона экологической катастрофы</w:t>
            </w:r>
          </w:p>
        </w:tc>
        <w:tc>
          <w:tcPr>
            <w:tcW w:w="694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 xml:space="preserve">Переход состояния природы от катастрофической к коллапсу. Возникший в результате природных и антропогенных явлений ареал смертельно опасен для постоянной жизни людей. </w:t>
            </w:r>
          </w:p>
        </w:tc>
      </w:tr>
    </w:tbl>
    <w:p w:rsidR="007C7253" w:rsidRDefault="007C7253">
      <w:pPr>
        <w:widowControl w:val="0"/>
        <w:spacing w:before="120"/>
        <w:ind w:firstLine="567"/>
        <w:jc w:val="both"/>
        <w:rPr>
          <w:rFonts w:ascii="Times New Roman" w:hAnsi="Times New Roman" w:cs="Times New Roman"/>
          <w:color w:val="000000"/>
        </w:rPr>
      </w:pP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Пример оценки состояния ряда водных территорий России  в природно-экологической шкале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Таблица 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6095"/>
      </w:tblGrid>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Название водоема</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Оценка экологического риска</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1. Ладожское озеро</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Кризисное состояние</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2. Байкал</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Равновесное состояние, грозящее перейти в кризисное</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3.Каспийское море</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Кризисное состояние, угрожающее перейти в критическое</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4. Онежское озеро</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Равновесное состояние с переходом к кризисному</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5. Черное море</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Критическое состояние</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6. Азовское море</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Критическое состояние с переходом к катастрофическому</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7. Баренцево море</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Состояние экосистем моря кризисно-критическое</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8. Балтийское море</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Равновесное состояние с приближением к кризисному</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9. Акватория Тихого океана</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Равновесное состояние</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10. Охотское море</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Равновесное состояние</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11. Экосистемы Севера России</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Равновесное состояние, местами переходящее в кризисное</w:t>
            </w:r>
          </w:p>
        </w:tc>
      </w:tr>
      <w:tr w:rsidR="007C7253" w:rsidRPr="007C7253">
        <w:tc>
          <w:tcPr>
            <w:tcW w:w="308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12. Экосистемы рек Белой и Уфы</w:t>
            </w:r>
          </w:p>
        </w:tc>
        <w:tc>
          <w:tcPr>
            <w:tcW w:w="6095"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Катастрофическое состояние (загрязнено диоксинами) в районе Уфы, в остальных местах кризисное.</w:t>
            </w:r>
          </w:p>
        </w:tc>
      </w:tr>
    </w:tbl>
    <w:p w:rsidR="007C7253" w:rsidRDefault="007C7253">
      <w:pPr>
        <w:widowControl w:val="0"/>
        <w:spacing w:before="120"/>
        <w:ind w:firstLine="567"/>
        <w:jc w:val="both"/>
        <w:rPr>
          <w:rFonts w:ascii="Times New Roman" w:hAnsi="Times New Roman" w:cs="Times New Roman"/>
          <w:color w:val="000000"/>
        </w:rPr>
      </w:pP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Источником экологического риска могут быть предприятие, технологии, компоненты среды, могущие стать источником аварийных воздействий на предприятие, экологическую систему, не предусмотренную проектом. Источники риска по отношению к хозяйственному объекту могут быть внешними и внутренними.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Анализ экологического риска включает в себя: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анализ исходных данных, на которых осуществляется построение модели оценки экологического риска;</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анализ неопределенности;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анализ достаточности исходных данных;</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оценку достаточности нормативной и методической документации, по которой осуществлялась оценка воздействия на окружающую среду;</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оценку достоверности анализа нештатных аварийных ситуаций;</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оценку достоверности анализа технологических процессов.</w:t>
      </w:r>
    </w:p>
    <w:p w:rsidR="007C7253" w:rsidRDefault="007C7253">
      <w:pPr>
        <w:widowControl w:val="0"/>
        <w:spacing w:before="120"/>
        <w:ind w:firstLine="567"/>
        <w:jc w:val="both"/>
        <w:rPr>
          <w:rFonts w:ascii="Times New Roman" w:hAnsi="Times New Roman" w:cs="Times New Roman"/>
          <w:color w:val="000000"/>
        </w:rPr>
      </w:pP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результате проведения оценки экологического риска можно определить экологическое качество жизни – часть системы качества жизни, включающую в себя «качество среды обитания».</w:t>
      </w:r>
    </w:p>
    <w:p w:rsidR="007C7253" w:rsidRDefault="007C7253">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МЕТОДИКА ОПРЕДЕЛЕНИЯ КАЧЕСТВА ЖИЗНИ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количественную характеристику качества жизни включаются такие ее показатели, как степень удовлетворения потребностей, материальные, энергетические, трудовые и финансовые затраты на удовлетворение каждого вида из совокупности объективных потребностей. Каковы же эти объективные потребности?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Говоря о потребностях в контексте качества жизни, по–видимому, следует вспомнить истину, провозглашенную много столетий назад древнегреческим мыслителем Протагором: «Человек есть мера всех вещей». Мера человека является мерой всего, что происходит в мире. Поэтому, говоря о совокупности объективных потребностей человека, нужно исходить из чувства здравого смысла из законов формальной логики.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Совокупность объективных свойств включает:</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Материальную (физическую, вещественную) базу для существования человека. В нее входят: состояние окружающей среды, материально-технические условия труда, быт, организация досуга, получение образования, а также используемые товары и услуги, в том числе уровень развития здравоохранения.</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Политические условия существования человека, включающие его правовую и социальную защищенность, предоставляемые конституционные гарантии.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Экономические условия существования человека, включающие состояние производства, эффективность экономических институтов, состояние энергетических и сырьевых запасов государства.</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Нравственную обстановку в обществе.</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Возможность творческого самовыражения, самореализации личности, свободу выбора вида социальной деятельности, жизненной позиции, стиля мышления и поведения, наличие права на собственное мнение.</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Список этих свойств не замкнут и может быть расширен.</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Для того чтобы осуществить оценку уровня качества жизни в предложенной постановке, следует решить три основные задачи: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Дать описание каждого из показателей, составляющих количественную характеристику качества.</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Определить меру сравнения для каждого из показателей количественной характеристики.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Определить обобщенный показатель, отражающий теоретическое понятие, которое характеризуется как уровень качества жизни.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 таблице 4 приведены некоторые параметры составляющих количественной характеристики объективных потребностей.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Таблица 4</w:t>
      </w: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86"/>
        <w:gridCol w:w="4003"/>
      </w:tblGrid>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Виды объективных потребностей</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Составляющие количественной характеристики объективных потребностей</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Параметр количественной характеристики</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Материальная база для существования человека</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Состояние окружающей среды</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Научно-обоснованные требования по отдельным параметрам, характеризующим состояние окружающей среды</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Степень удовлетворения потребностей</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Финансовые затраты</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Нормы предельно допустимых концентраций вредных веществ.</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Требования законов, постановлений и стандартов. Опрос общественного мнения.</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Требуемые капиталовложения для решения экологических задач, % от бюджета</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Условия труда</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Научно-обоснованные требования к параметрам эргономики, освещенности, влажности и т.д.</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Финансовые затраты</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Степень удовлетворения потребностей</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Показатели стандартов ССБТ</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Требуемые капиталовложения для технического перевооружения производства, % от бюджета</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Статистические данные по числу профзаболеваний, % от работающих</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Жилищные условия</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Технические и санитарно-гигиенические требования к жилым помещениям</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Обеспеченность жильем</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Показатели стандартов и СНиП</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Статистические данные</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Используемые товары</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Показатели технического уровня и качества различных видов продукции</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Потребительские свойства продукции</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Безопасность продукции</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Степень удовлетворения потребностей</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Трудовые затраты, в том числе интеллектуальные</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Требования стандартов на продукцию</w:t>
            </w:r>
          </w:p>
          <w:p w:rsidR="007C7253" w:rsidRPr="007C7253" w:rsidRDefault="007C7253">
            <w:pPr>
              <w:widowControl w:val="0"/>
              <w:jc w:val="both"/>
              <w:rPr>
                <w:rFonts w:ascii="Times New Roman" w:hAnsi="Times New Roman" w:cs="Times New Roman"/>
                <w:color w:val="000000"/>
              </w:rPr>
            </w:pP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Объем товарооборота ТНП, отнесенный к общему товарообороту на внутреннем рынке, в %.</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Число новых ТНП, появившихся на рынке, отнесенные ко всей номенклатуре видов товаров, имеющих обращение на рынке в данный период ,%</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Сроки обновления ассортимента</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Образование</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Обязательные требования к программам и продолжительность обучения на разных уровнях образования</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Степень удовлетворения потребностей</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Финансовые затраты</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Трудовые затраты</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Образовательные стандарты (нормы для преподавателей, учебных заведений и обучающихся)</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Данные о числе получивших диплом о высшем образовании в возрасте 23-30 лет, % от общего числа представителей данной группы населения.</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Объем капиталовложений в образование, % от бюджета</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Число учебных заведений, в которых введены новые прогрессивные методики преподавания, отнесенное к общему числу учебных заведений, %.</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Здравоохранение</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Научно-обоснованные требования к уровню, возможностям и объективным потребностям населения в услугах медицины.</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Финансовые затраты</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Трудовые затраты</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Средняя продолжительность жизни</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Обеспеченность местами в стационарах</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Объем капиталовложений в здравоохранение, % от бюджета</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Технический уровень оснащенности медицинских учреждений.</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Политические условия</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Правовая защищенность</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Степень удовлетворения потребностей</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Трудовые затраты</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Финансовые затраты</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Опрос общественного мнения с оценкой уровня правовой защищенности, % от выборки</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Число принятых за период законов и постановлений, направленных на укрепление правовой защищенности, отнесенное к общему их числу, %.</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Наличие и полнота структур и служб, обеспечивающих действия механизма реализации законов, % от бюджетных ассигнований для обеспечения действия указанных структур и служб</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Экономические условия</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Состояние производства</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Материальные затраты</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Энергетические затраты</w:t>
            </w:r>
          </w:p>
          <w:p w:rsidR="007C7253" w:rsidRPr="007C7253" w:rsidRDefault="007C7253">
            <w:pPr>
              <w:widowControl w:val="0"/>
              <w:jc w:val="both"/>
              <w:rPr>
                <w:rFonts w:ascii="Times New Roman" w:hAnsi="Times New Roman" w:cs="Times New Roman"/>
                <w:color w:val="000000"/>
              </w:rPr>
            </w:pP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Число предприятий, прошедших техническое перевооружение, отнесенное к общему их числу, %.</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Объем потребляемых предприятиями энергоресурсов, отнесенное к общему энергопотенциалу, %.</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Эффективность промышленности</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Национальный валовой продукт</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Конкурентоспособность и экспортнопригодность</w:t>
            </w:r>
          </w:p>
          <w:p w:rsidR="007C7253" w:rsidRPr="007C7253" w:rsidRDefault="007C7253">
            <w:pPr>
              <w:widowControl w:val="0"/>
              <w:jc w:val="both"/>
              <w:rPr>
                <w:rFonts w:ascii="Times New Roman" w:hAnsi="Times New Roman" w:cs="Times New Roman"/>
                <w:color w:val="000000"/>
              </w:rPr>
            </w:pP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Общий показатель ВНП, его динамика, а также удельный показатель ВНП на душу населения.</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Удельные затраты сырья, энергии на единицу продукции и на душу населения.</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Отношение экспорта товаров различных категорий к общему объему экспорта</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4. Нравственная обстановка в обществе</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Традиции, обычаи.</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Нравственные принципы</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Религиозные нормы</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Национальные, региональные, клановые нормы поведения. Семейные устои (% разводов, браков)</w:t>
            </w:r>
          </w:p>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Уровень преступности</w:t>
            </w:r>
          </w:p>
        </w:tc>
      </w:tr>
      <w:tr w:rsidR="007C7253" w:rsidRPr="007C7253">
        <w:tc>
          <w:tcPr>
            <w:tcW w:w="2518"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5. Возможность проявления личности</w:t>
            </w:r>
          </w:p>
        </w:tc>
        <w:tc>
          <w:tcPr>
            <w:tcW w:w="3686"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Конституционные свободы</w:t>
            </w:r>
          </w:p>
        </w:tc>
        <w:tc>
          <w:tcPr>
            <w:tcW w:w="4003" w:type="dxa"/>
          </w:tcPr>
          <w:p w:rsidR="007C7253" w:rsidRPr="007C7253" w:rsidRDefault="007C7253">
            <w:pPr>
              <w:widowControl w:val="0"/>
              <w:jc w:val="both"/>
              <w:rPr>
                <w:rFonts w:ascii="Times New Roman" w:hAnsi="Times New Roman" w:cs="Times New Roman"/>
                <w:color w:val="000000"/>
              </w:rPr>
            </w:pPr>
            <w:r w:rsidRPr="007C7253">
              <w:rPr>
                <w:rFonts w:ascii="Times New Roman" w:hAnsi="Times New Roman" w:cs="Times New Roman"/>
                <w:color w:val="000000"/>
              </w:rPr>
              <w:t>Степень реализации конституционных свобод в обществе</w:t>
            </w:r>
          </w:p>
        </w:tc>
      </w:tr>
    </w:tbl>
    <w:p w:rsidR="007C7253" w:rsidRDefault="007C7253">
      <w:pPr>
        <w:widowControl w:val="0"/>
        <w:spacing w:before="120"/>
        <w:ind w:firstLine="567"/>
        <w:jc w:val="both"/>
        <w:rPr>
          <w:rFonts w:ascii="Times New Roman" w:hAnsi="Times New Roman" w:cs="Times New Roman"/>
          <w:color w:val="000000"/>
        </w:rPr>
      </w:pP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Как видно из таблицы, уровень качества жизни определяется на основе экспертных оценок и социологических опросов. Полный комплекс таких исследований весьма сложен и не разработан. Отдельные попытки определения уровня жизни опираются на традиционные приоритеты и имеют относительный сопоставительный характер.</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В настоящее время по этим параметрам можно проводить оценку соответствия той или иной характеристики качества жизни установленным нормативам, другими словами, - сертификацию.</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Известно, что для проведения сертификации необходимо наличие, по крайней мере, четырех компонентов:</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стандартов на показатели свойств продукции и методы испытаний;</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организаций, аккредитованных на право проведения испытаний;</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органов, уполномоченных принимать решения по результатам испытаний или оценок в рамках признанной системы и по утвержденным процедурам;</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органов надзора за правильностью проведения сертификационных работ.</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Поскольку качество жизни – многофакторное понятие, для его оценки важно учесть все составляющие. В качестве одной из формул, учитывающих все показатели можно привести следующую:</w:t>
      </w:r>
    </w:p>
    <w:p w:rsidR="007C7253" w:rsidRDefault="004A24C7">
      <w:pPr>
        <w:widowControl w:val="0"/>
        <w:spacing w:before="120"/>
        <w:ind w:firstLine="567"/>
        <w:jc w:val="both"/>
        <w:rPr>
          <w:rFonts w:ascii="Times New Roman" w:hAnsi="Times New Roman" w:cs="Times New Roman"/>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5.9pt;margin-top:27.55pt;width:160.2pt;height:94.8pt;z-index:251656192" o:allowincell="f">
            <v:imagedata r:id="rId5" o:title=""/>
            <w10:wrap type="topAndBottom"/>
          </v:shape>
        </w:pict>
      </w:r>
    </w:p>
    <w:p w:rsidR="007C7253" w:rsidRDefault="004A24C7">
      <w:pPr>
        <w:widowControl w:val="0"/>
        <w:spacing w:before="120"/>
        <w:ind w:firstLine="567"/>
        <w:jc w:val="both"/>
        <w:rPr>
          <w:rFonts w:ascii="Times New Roman" w:hAnsi="Times New Roman" w:cs="Times New Roman"/>
          <w:color w:val="000000"/>
        </w:rPr>
      </w:pPr>
      <w:r>
        <w:rPr>
          <w:noProof/>
        </w:rPr>
        <w:pict>
          <v:shape id="_x0000_s1027" type="#_x0000_t75" style="position:absolute;left:0;text-align:left;margin-left:37.8pt;margin-top:13.25pt;width:28.8pt;height:18.6pt;z-index:251657216" o:allowincell="f">
            <v:imagedata r:id="rId6" o:title=""/>
          </v:shape>
        </w:pic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где - относительный текущий показатель количественной характеристики первого рода;</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n</w:t>
      </w:r>
      <w:r>
        <w:rPr>
          <w:rFonts w:ascii="Times New Roman" w:hAnsi="Times New Roman" w:cs="Times New Roman"/>
          <w:color w:val="000000"/>
        </w:rPr>
        <w:t xml:space="preserve"> - число показателей по характеристикам первого рада;</w:t>
      </w:r>
    </w:p>
    <w:p w:rsidR="007C7253" w:rsidRDefault="004A24C7">
      <w:pPr>
        <w:widowControl w:val="0"/>
        <w:spacing w:before="120"/>
        <w:ind w:firstLine="567"/>
        <w:jc w:val="both"/>
        <w:rPr>
          <w:rFonts w:ascii="Times New Roman" w:hAnsi="Times New Roman" w:cs="Times New Roman"/>
          <w:color w:val="000000"/>
        </w:rPr>
      </w:pPr>
      <w:r>
        <w:rPr>
          <w:noProof/>
        </w:rPr>
        <w:pict>
          <v:shape id="_x0000_s1028" type="#_x0000_t75" style="position:absolute;left:0;text-align:left;margin-left:23.6pt;margin-top:.65pt;width:28.2pt;height:18.6pt;z-index:251658240" o:allowincell="f">
            <v:imagedata r:id="rId7" o:title=""/>
          </v:shape>
        </w:pict>
      </w:r>
      <w:r w:rsidR="007C7253">
        <w:rPr>
          <w:rFonts w:ascii="Times New Roman" w:hAnsi="Times New Roman" w:cs="Times New Roman"/>
          <w:color w:val="000000"/>
        </w:rPr>
        <w:t>- - относительный текущий показатель количественной характеристики второго рода,</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m</w:t>
      </w:r>
      <w:r>
        <w:rPr>
          <w:rFonts w:ascii="Times New Roman" w:hAnsi="Times New Roman" w:cs="Times New Roman"/>
          <w:color w:val="000000"/>
        </w:rPr>
        <w:t xml:space="preserve"> - число показателей второго рода;</w:t>
      </w:r>
    </w:p>
    <w:p w:rsidR="007C7253" w:rsidRDefault="004A24C7">
      <w:pPr>
        <w:widowControl w:val="0"/>
        <w:spacing w:before="120"/>
        <w:ind w:firstLine="567"/>
        <w:jc w:val="both"/>
        <w:rPr>
          <w:rFonts w:ascii="Times New Roman" w:hAnsi="Times New Roman" w:cs="Times New Roman"/>
          <w:color w:val="000000"/>
        </w:rPr>
      </w:pPr>
      <w:r>
        <w:rPr>
          <w:noProof/>
        </w:rPr>
        <w:pict>
          <v:shape id="_x0000_s1029" type="#_x0000_t75" style="position:absolute;left:0;text-align:left;margin-left:23.6pt;margin-top:8.95pt;width:30pt;height:18.6pt;z-index:251659264" o:allowincell="f">
            <v:imagedata r:id="rId8" o:title=""/>
          </v:shape>
        </w:pic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текущая величина относительного отклонения от нормы стандарта показателя качества составляющей количественной характеристики второго рода,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lang w:val="en-US"/>
        </w:rPr>
        <w:t>L</w:t>
      </w:r>
      <w:r>
        <w:rPr>
          <w:rFonts w:ascii="Times New Roman" w:hAnsi="Times New Roman" w:cs="Times New Roman"/>
          <w:color w:val="000000"/>
        </w:rPr>
        <w:t xml:space="preserve"> - число показателей качества, ограниченных нормами стандартов.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Как видно из формулы, для </w:t>
      </w:r>
      <w:r>
        <w:rPr>
          <w:rFonts w:ascii="Times New Roman" w:hAnsi="Times New Roman" w:cs="Times New Roman"/>
          <w:color w:val="000000"/>
          <w:lang w:val="en-US"/>
        </w:rPr>
        <w:t>Q</w:t>
      </w:r>
      <w:r>
        <w:rPr>
          <w:rFonts w:ascii="Times New Roman" w:hAnsi="Times New Roman" w:cs="Times New Roman"/>
          <w:color w:val="000000"/>
        </w:rPr>
        <w:t>ж именно вторая составляющая суммы в знаменателе оказывает наиболее сильное влияние на обобщенный показатель с тенденцией его увеличения. Наличие нормы, определяемой стандартом, позволяет перейти от относительного параметра к величине его относительного отклонения, которая имеет более значительный отрицательный градиент.</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Предлагаемые подходы к нормативно-методическому обеспечению качества жизни</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 1991 г. была предложена системно-графическая модель «ОКО ЗЕМНОЕ», ядром которой стало качество жизни. В рамках этом модели стандартизации как инструменту, и стандартософии как науке ХХ века, предоставлены права и обязанности быть нормативно-методическими «служанками» при решении проблемы качества жизни и шире - при накоплении знаний.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В последующих публикациях представления были существенно развиты, но сохранено смысловое организующее ядро модели, в которой качество жизни определяется совокупностью четырех стратегий: производственной, ресурсной, социальной и экологической сфер.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Предполагаются фундаментальные исследования сложившейся терминологии и классификации понятий, показателей для нормативных оценок уровня и качества жизни. Планируется проанализировать пригодность собираемой статистическими службами России информации для исчисления экономических индексов, показателей для оценки уровня и качества жизни населения. Будут разработаны обширная по охвату терминологическая база, концептуальные и практические подходы к нормативным оценкам качества жизни. </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 xml:space="preserve">Решение проблемы качества жизни сопрягается с постановкой проблемы оценки влияния качественных товаров и услуг на рациональность поведения потребителей и регулируемость социальных процессов в обществе в условиях инфраструктурных сдвигов: эту проблему предполагает решать ВЦ РАН на основе разрабатываемых фундаментальных подходов и принципов. </w:t>
      </w:r>
    </w:p>
    <w:p w:rsidR="007C7253" w:rsidRDefault="007C7253">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1. А.И. СУБЕТТО УПРАВЛЕНИЕ КАЧЕСТВОМ ЖИЗНИ И ВЫЖИВАЕМОСТЬ ЧЕЛОВЕЧЕСТВА // Ст и К №1 1994</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2. И.И. Исаев, Б.В. Нечкин КАЧЕСТВО ЖИЗНИ И СЕРТИФИКАЦИЯ  // Ст и К №12 1994</w:t>
      </w:r>
    </w:p>
    <w:p w:rsidR="007C7253" w:rsidRDefault="007C7253">
      <w:pPr>
        <w:widowControl w:val="0"/>
        <w:spacing w:before="120"/>
        <w:ind w:firstLine="567"/>
        <w:jc w:val="both"/>
        <w:rPr>
          <w:rFonts w:ascii="Times New Roman" w:hAnsi="Times New Roman" w:cs="Times New Roman"/>
          <w:color w:val="000000"/>
        </w:rPr>
      </w:pPr>
      <w:r>
        <w:rPr>
          <w:rFonts w:ascii="Times New Roman" w:hAnsi="Times New Roman" w:cs="Times New Roman"/>
          <w:color w:val="000000"/>
        </w:rPr>
        <w:t>3. А.И. Субетто КАЧЕСТВО ЖИЗНИ, СИНТЕТИЧЕСКАЯ РЕВОЛЮЦИЯ В МЕХАНИЗМАХ ЦИВИЛИЗОВАННОГО РАЗВИТИЯ И КВАЛИТАТИВНАЯ ЭКОНОМИКА // Ст и К №4 1994</w:t>
      </w:r>
      <w:bookmarkStart w:id="0" w:name="_GoBack"/>
      <w:bookmarkEnd w:id="0"/>
    </w:p>
    <w:sectPr w:rsidR="007C7253">
      <w:pgSz w:w="11906" w:h="16838"/>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07388"/>
    <w:multiLevelType w:val="singleLevel"/>
    <w:tmpl w:val="E54C5634"/>
    <w:lvl w:ilvl="0">
      <w:start w:val="1"/>
      <w:numFmt w:val="decimal"/>
      <w:lvlText w:val="%1."/>
      <w:lvlJc w:val="left"/>
      <w:pPr>
        <w:tabs>
          <w:tab w:val="num" w:pos="1080"/>
        </w:tabs>
        <w:ind w:left="1080" w:hanging="360"/>
      </w:pPr>
      <w:rPr>
        <w:rFonts w:hint="default"/>
      </w:rPr>
    </w:lvl>
  </w:abstractNum>
  <w:abstractNum w:abstractNumId="1">
    <w:nsid w:val="1FD26BA1"/>
    <w:multiLevelType w:val="singleLevel"/>
    <w:tmpl w:val="76889940"/>
    <w:lvl w:ilvl="0">
      <w:start w:val="1"/>
      <w:numFmt w:val="decimal"/>
      <w:lvlText w:val="%1."/>
      <w:lvlJc w:val="left"/>
      <w:pPr>
        <w:tabs>
          <w:tab w:val="num" w:pos="1080"/>
        </w:tabs>
        <w:ind w:left="1080" w:hanging="360"/>
      </w:pPr>
      <w:rPr>
        <w:rFonts w:hint="default"/>
      </w:rPr>
    </w:lvl>
  </w:abstractNum>
  <w:abstractNum w:abstractNumId="2">
    <w:nsid w:val="282B248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4EC5467"/>
    <w:multiLevelType w:val="singleLevel"/>
    <w:tmpl w:val="82242EAE"/>
    <w:lvl w:ilvl="0">
      <w:start w:val="1"/>
      <w:numFmt w:val="decimal"/>
      <w:lvlText w:val="%1."/>
      <w:lvlJc w:val="left"/>
      <w:pPr>
        <w:tabs>
          <w:tab w:val="num" w:pos="1080"/>
        </w:tabs>
        <w:ind w:left="1080" w:hanging="360"/>
      </w:pPr>
      <w:rPr>
        <w:rFonts w:hint="default"/>
      </w:rPr>
    </w:lvl>
  </w:abstractNum>
  <w:abstractNum w:abstractNumId="4">
    <w:nsid w:val="497D095E"/>
    <w:multiLevelType w:val="singleLevel"/>
    <w:tmpl w:val="164E2956"/>
    <w:lvl w:ilvl="0">
      <w:numFmt w:val="bullet"/>
      <w:lvlText w:val="-"/>
      <w:lvlJc w:val="left"/>
      <w:pPr>
        <w:tabs>
          <w:tab w:val="num" w:pos="1080"/>
        </w:tabs>
        <w:ind w:left="1080" w:hanging="360"/>
      </w:pPr>
      <w:rPr>
        <w:rFonts w:ascii="Times New Roman" w:hAnsi="Times New Roman" w:cs="Times New Roman" w:hint="default"/>
      </w:rPr>
    </w:lvl>
  </w:abstractNum>
  <w:abstractNum w:abstractNumId="5">
    <w:nsid w:val="665F0868"/>
    <w:multiLevelType w:val="singleLevel"/>
    <w:tmpl w:val="4558AA3A"/>
    <w:lvl w:ilvl="0">
      <w:start w:val="2"/>
      <w:numFmt w:val="decimal"/>
      <w:lvlText w:val="%1"/>
      <w:lvlJc w:val="left"/>
      <w:pPr>
        <w:tabs>
          <w:tab w:val="num" w:pos="1080"/>
        </w:tabs>
        <w:ind w:left="1080" w:hanging="360"/>
      </w:pPr>
      <w:rPr>
        <w:rFonts w:hint="default"/>
      </w:rPr>
    </w:lvl>
  </w:abstractNum>
  <w:abstractNum w:abstractNumId="6">
    <w:nsid w:val="7DB1435D"/>
    <w:multiLevelType w:val="singleLevel"/>
    <w:tmpl w:val="32DEBE7A"/>
    <w:lvl w:ilvl="0">
      <w:start w:val="2"/>
      <w:numFmt w:val="decimal"/>
      <w:lvlText w:val="%1)"/>
      <w:lvlJc w:val="left"/>
      <w:pPr>
        <w:tabs>
          <w:tab w:val="num" w:pos="1464"/>
        </w:tabs>
        <w:ind w:left="1464" w:hanging="744"/>
      </w:pPr>
      <w:rPr>
        <w:rFonts w:hint="default"/>
      </w:rPr>
    </w:lvl>
  </w:abstractNum>
  <w:num w:numId="1">
    <w:abstractNumId w:val="4"/>
  </w:num>
  <w:num w:numId="2">
    <w:abstractNumId w:val="1"/>
  </w:num>
  <w:num w:numId="3">
    <w:abstractNumId w:val="6"/>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1"/>
  <w:drawingGridVerticalSpacing w:val="48"/>
  <w:displayHorizontalDrawingGridEvery w:val="0"/>
  <w:displayVerticalDrawingGridEvery w:val="0"/>
  <w:characterSpacingControl w:val="doNotCompress"/>
  <w:doNotValidateAgainstSchema/>
  <w:doNotDemarcateInvalidXml/>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431"/>
    <w:rsid w:val="004A24C7"/>
    <w:rsid w:val="007C7253"/>
    <w:rsid w:val="009572A8"/>
    <w:rsid w:val="00CF24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F17CA2D-0754-4464-B18B-FA596F89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4"/>
      <w:szCs w:val="24"/>
      <w:lang w:val="ru-RU" w:eastAsia="ru-RU"/>
    </w:rPr>
  </w:style>
  <w:style w:type="paragraph" w:styleId="1">
    <w:name w:val="heading 1"/>
    <w:basedOn w:val="a"/>
    <w:next w:val="a"/>
    <w:link w:val="10"/>
    <w:uiPriority w:val="99"/>
    <w:qFormat/>
    <w:pPr>
      <w:keepNext/>
      <w:ind w:right="43"/>
      <w:jc w:val="center"/>
      <w:outlineLvl w:val="0"/>
    </w:pPr>
    <w:rPr>
      <w:b/>
      <w:bCs/>
      <w:sz w:val="28"/>
      <w:szCs w:val="28"/>
    </w:rPr>
  </w:style>
  <w:style w:type="paragraph" w:styleId="2">
    <w:name w:val="heading 2"/>
    <w:basedOn w:val="a"/>
    <w:next w:val="a"/>
    <w:link w:val="20"/>
    <w:uiPriority w:val="99"/>
    <w:qFormat/>
    <w:pPr>
      <w:keepNext/>
      <w:ind w:right="43"/>
      <w:jc w:val="center"/>
      <w:outlineLvl w:val="1"/>
    </w:pPr>
    <w:rPr>
      <w:b/>
      <w:bCs/>
    </w:rPr>
  </w:style>
  <w:style w:type="paragraph" w:styleId="3">
    <w:name w:val="heading 3"/>
    <w:basedOn w:val="a"/>
    <w:next w:val="a"/>
    <w:link w:val="30"/>
    <w:uiPriority w:val="99"/>
    <w:qFormat/>
    <w:pPr>
      <w:keepNext/>
      <w:jc w:val="center"/>
      <w:outlineLvl w:val="2"/>
    </w:pPr>
    <w:rPr>
      <w:b/>
      <w:bCs/>
      <w:noProof/>
      <w:sz w:val="32"/>
      <w:szCs w:val="32"/>
    </w:rPr>
  </w:style>
  <w:style w:type="paragraph" w:styleId="4">
    <w:name w:val="heading 4"/>
    <w:basedOn w:val="a"/>
    <w:next w:val="a"/>
    <w:link w:val="40"/>
    <w:uiPriority w:val="99"/>
    <w:qFormat/>
    <w:pPr>
      <w:keepNext/>
      <w:ind w:right="43"/>
      <w:jc w:val="right"/>
      <w:outlineLvl w:val="3"/>
    </w:pPr>
    <w:rPr>
      <w:b/>
      <w:bCs/>
    </w:rPr>
  </w:style>
  <w:style w:type="paragraph" w:styleId="5">
    <w:name w:val="heading 5"/>
    <w:basedOn w:val="a"/>
    <w:next w:val="a"/>
    <w:link w:val="50"/>
    <w:uiPriority w:val="99"/>
    <w:qFormat/>
    <w:pPr>
      <w:keepNext/>
      <w:jc w:val="right"/>
      <w:outlineLvl w:val="4"/>
    </w:pPr>
    <w:rPr>
      <w:b/>
      <w:bCs/>
    </w:rPr>
  </w:style>
  <w:style w:type="paragraph" w:styleId="6">
    <w:name w:val="heading 6"/>
    <w:basedOn w:val="a"/>
    <w:next w:val="a"/>
    <w:link w:val="60"/>
    <w:uiPriority w:val="99"/>
    <w:qFormat/>
    <w:pPr>
      <w:keepNext/>
      <w:ind w:right="43"/>
      <w:jc w:val="both"/>
      <w:outlineLvl w:val="5"/>
    </w:pPr>
    <w:rPr>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Body Text"/>
    <w:basedOn w:val="a"/>
    <w:link w:val="a4"/>
    <w:uiPriority w:val="99"/>
    <w:pPr>
      <w:ind w:right="43"/>
      <w:jc w:val="both"/>
    </w:pPr>
  </w:style>
  <w:style w:type="character" w:customStyle="1" w:styleId="a4">
    <w:name w:val="Основной текст Знак"/>
    <w:link w:val="a3"/>
    <w:uiPriority w:val="99"/>
    <w:semiHidden/>
    <w:rPr>
      <w:rFonts w:ascii="Arial" w:hAnsi="Arial" w:cs="Arial"/>
      <w:sz w:val="24"/>
      <w:szCs w:val="24"/>
    </w:rPr>
  </w:style>
  <w:style w:type="paragraph" w:styleId="21">
    <w:name w:val="Body Text 2"/>
    <w:basedOn w:val="a"/>
    <w:link w:val="22"/>
    <w:uiPriority w:val="99"/>
    <w:pPr>
      <w:ind w:right="43"/>
      <w:jc w:val="center"/>
    </w:pPr>
    <w:rPr>
      <w:caps/>
    </w:rPr>
  </w:style>
  <w:style w:type="character" w:customStyle="1" w:styleId="22">
    <w:name w:val="Основной текст 2 Знак"/>
    <w:link w:val="21"/>
    <w:uiPriority w:val="99"/>
    <w:semiHidden/>
    <w:rPr>
      <w:rFonts w:ascii="Arial" w:hAnsi="Arial" w:cs="Arial"/>
      <w:sz w:val="24"/>
      <w:szCs w:val="24"/>
    </w:rPr>
  </w:style>
  <w:style w:type="paragraph" w:styleId="31">
    <w:name w:val="Body Text 3"/>
    <w:basedOn w:val="a"/>
    <w:link w:val="32"/>
    <w:uiPriority w:val="99"/>
    <w:pPr>
      <w:ind w:right="43"/>
      <w:jc w:val="center"/>
    </w:pPr>
    <w:rPr>
      <w:b/>
      <w:bCs/>
    </w:rPr>
  </w:style>
  <w:style w:type="character" w:customStyle="1" w:styleId="32">
    <w:name w:val="Основной текст 3 Знак"/>
    <w:link w:val="31"/>
    <w:uiPriority w:val="99"/>
    <w:semiHidden/>
    <w:rPr>
      <w:rFonts w:ascii="Arial" w:hAnsi="Arial" w:cs="Arial"/>
      <w:sz w:val="16"/>
      <w:szCs w:val="16"/>
    </w:rPr>
  </w:style>
  <w:style w:type="paragraph" w:styleId="a5">
    <w:name w:val="Title"/>
    <w:basedOn w:val="a"/>
    <w:link w:val="a6"/>
    <w:uiPriority w:val="99"/>
    <w:qFormat/>
    <w:pPr>
      <w:jc w:val="center"/>
    </w:pPr>
    <w:rPr>
      <w:b/>
      <w:bCs/>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Arial" w:hAnsi="Arial" w:cs="Arial"/>
      <w:sz w:val="24"/>
      <w:szCs w:val="24"/>
    </w:rPr>
  </w:style>
  <w:style w:type="character" w:styleId="a9">
    <w:name w:val="page number"/>
    <w:uiPriority w:val="99"/>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rFonts w:ascii="Arial" w:hAnsi="Arial" w:cs="Arial"/>
      <w:sz w:val="24"/>
      <w:szCs w:val="24"/>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19992</Words>
  <Characters>11396</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Качество жизни</vt:lpstr>
    </vt:vector>
  </TitlesOfParts>
  <Company>Мой дом - моя крепость</Company>
  <LinksUpToDate>false</LinksUpToDate>
  <CharactersWithSpaces>31326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жизни</dc:title>
  <dc:subject/>
  <dc:creator>Ч. Сергей</dc:creator>
  <cp:keywords/>
  <dc:description/>
  <cp:lastModifiedBy>admin</cp:lastModifiedBy>
  <cp:revision>2</cp:revision>
  <dcterms:created xsi:type="dcterms:W3CDTF">2014-01-27T01:07:00Z</dcterms:created>
  <dcterms:modified xsi:type="dcterms:W3CDTF">2014-01-27T01:07:00Z</dcterms:modified>
</cp:coreProperties>
</file>