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8C9" w:rsidRDefault="008268C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Топливно-энергетический комплекс (ТЭК), АПК  в мировой экономике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Отрасли ТЭК относятся к капиталоемким отраслям. В промышленно развитых странах, где представлены все его отрасли, обычно основные капиталовложения в пределах до</w:t>
      </w:r>
      <w:r>
        <w:rPr>
          <w:noProof/>
          <w:color w:val="000000"/>
          <w:sz w:val="24"/>
          <w:szCs w:val="24"/>
        </w:rPr>
        <w:t xml:space="preserve"> 85%</w:t>
      </w:r>
      <w:r>
        <w:rPr>
          <w:color w:val="000000"/>
          <w:sz w:val="24"/>
          <w:szCs w:val="24"/>
        </w:rPr>
        <w:t xml:space="preserve"> приходятся на нефтегазодобывающую промышленность и электроэнергетику (примерно в равных долях) и до</w:t>
      </w:r>
      <w:r>
        <w:rPr>
          <w:noProof/>
          <w:color w:val="000000"/>
          <w:sz w:val="24"/>
          <w:szCs w:val="24"/>
        </w:rPr>
        <w:t xml:space="preserve"> 15% —</w:t>
      </w:r>
      <w:r>
        <w:rPr>
          <w:color w:val="000000"/>
          <w:sz w:val="24"/>
          <w:szCs w:val="24"/>
        </w:rPr>
        <w:t xml:space="preserve"> на нефтепереработку и угольную промышленность. Значительное влияние на инвестиционный процесс в ТЭК в целом оказывают инвестиции в нефтяную промышленность.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Циклический характер развития деловой активности в нефтяной промышленности связан с тем, что решения об увеличении капиталовложений в нефтяную промышленность принимаются в тот период, когда на рынках отмечается нехватка нефти, сопровождающаяся ростом цен и прибыли. Обычно в этот период все участники нефтяного бизнеса, включая финансовые структуры, стремятся оживить инвестиционный процесс в этой отрасли, а отдача от этих капиталовложений в виде увеличения объемов добычи начинает сказываться примерно через</w:t>
      </w:r>
      <w:r>
        <w:rPr>
          <w:noProof/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</w:rPr>
        <w:t xml:space="preserve"> лет. На рынках нефти появляется избыток предложения нефти над спросом, цены начинают снижаться, что также сопровождается уменьшением объема инвестиций до тех пор, пока исчезнет избыток нефти. Этот период также продолжается около</w:t>
      </w:r>
      <w:r>
        <w:rPr>
          <w:noProof/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</w:rPr>
        <w:t xml:space="preserve"> лет. За последние</w:t>
      </w:r>
      <w:r>
        <w:rPr>
          <w:noProof/>
          <w:color w:val="000000"/>
          <w:sz w:val="24"/>
          <w:szCs w:val="24"/>
        </w:rPr>
        <w:t xml:space="preserve"> 100</w:t>
      </w:r>
      <w:r>
        <w:rPr>
          <w:color w:val="000000"/>
          <w:sz w:val="24"/>
          <w:szCs w:val="24"/>
        </w:rPr>
        <w:t xml:space="preserve"> лет таких циклов было пять с протяженностью каждого от</w:t>
      </w:r>
      <w:r>
        <w:rPr>
          <w:noProof/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 xml:space="preserve"> до</w:t>
      </w:r>
      <w:r>
        <w:rPr>
          <w:noProof/>
          <w:color w:val="000000"/>
          <w:sz w:val="24"/>
          <w:szCs w:val="24"/>
        </w:rPr>
        <w:t xml:space="preserve"> 22 </w:t>
      </w:r>
      <w:r>
        <w:rPr>
          <w:color w:val="000000"/>
          <w:sz w:val="24"/>
          <w:szCs w:val="24"/>
        </w:rPr>
        <w:t>лет, причем эти циклы не обязательно совпадали с циклами развития всей экономики.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Последний пик этого цикла пришелся на</w:t>
      </w:r>
      <w:r>
        <w:rPr>
          <w:noProof/>
          <w:color w:val="000000"/>
          <w:sz w:val="24"/>
          <w:szCs w:val="24"/>
        </w:rPr>
        <w:t xml:space="preserve"> 1981—1982</w:t>
      </w:r>
      <w:r>
        <w:rPr>
          <w:color w:val="000000"/>
          <w:sz w:val="24"/>
          <w:szCs w:val="24"/>
        </w:rPr>
        <w:t xml:space="preserve"> гг., когда цены на нефть и размеры капиталовложений в отрасль достигли максимального уровня. После этого началось снижение цен и капиталовложений. Перелом, по всей вероятности, наступит в конце 90-х годов и продолжится до</w:t>
      </w:r>
      <w:r>
        <w:rPr>
          <w:noProof/>
          <w:color w:val="000000"/>
          <w:sz w:val="24"/>
          <w:szCs w:val="24"/>
        </w:rPr>
        <w:t xml:space="preserve"> 2010</w:t>
      </w:r>
      <w:r>
        <w:rPr>
          <w:color w:val="000000"/>
          <w:sz w:val="24"/>
          <w:szCs w:val="24"/>
        </w:rPr>
        <w:t xml:space="preserve"> г. В этот период будет наблюдаться некоторый рост цен на нефть и соответственно оживятся капиталовложения.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циклическим характером развития нефтяной промышленности происходили и изменения капиталовложений не только в эту отрасль, но и в целом в ТЭК.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Вслед за нефтегазодобывающей промышленностью в предстоящее десятилетие крупные инвестиции, соразмерные с инвестициями в нефтегазовую промышленность, будут вложены в электроэнергетику. Инвестиции в развитие электроэнергетики менее подвержены таким циклическим изменениям, как в нефтяную промышленность. 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Электростанции, работающие на газе, требуют меньших капиталовложений на единицу вводимой мощности, имеют более быстрые сроки строительства, при этом уменьшается отрицательное воздействие отраслей ТЭК на состояние окружающей среды и особенно на возможность глобального изменения климата. Газ, как известно, является наиболее экологически чистым видом органического топлива, ресурсная база газодобычи на ближайшие десятилетия не вызывает особых опасений.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развивающихся странах основные потребности в электроэнергии будут, видимо, удовлетворяться путем наращивания строительства тепловых электростанций на угле. Это связано прежде всего с тем, что многие из этих стран обладают его большими запасами, а развитие атомной и гидроэнергетики сдерживается отсутствием возможности инвестировать в строительство дорого стоящих АЭС и ГЭС. Из-за отсутствия эффективных технологий сжигания угля на электростанциях в этих странах загрязнение атмосферы будет увеличиваться с ростом объемов его использования. Это в какой-то степени относится и к промышленно развитым странам. Поэтому во многих из них при поддержке государства ведутся разработки по созданию "технологий чистого угля". Освоение таких технологий и их передача в последующем в развивающиеся страны может помимо резкого снижения загрязнения окружающей среды проложить дорогу более широкому применению угля в электроэнергетике взамен более ограниченных запасов нефти и газа.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долгосрочной перспективе в промышленно развитых странах ожидается весьма незначительный прирост собственного производства первичных энсргоресурсов (ПЭР). В результате этого при наметившейся устойчивой тенденции снижения в этих странах добычи нефти зависимость этих стран от ввоза ПЭР из третьих стран будет возрастать.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структуре потребления ПЭР за нефтью, очевидно, сохранится первое место не только до</w:t>
      </w:r>
      <w:r>
        <w:rPr>
          <w:noProof/>
          <w:color w:val="000000"/>
          <w:sz w:val="24"/>
          <w:szCs w:val="24"/>
        </w:rPr>
        <w:t xml:space="preserve"> 2015</w:t>
      </w:r>
      <w:r>
        <w:rPr>
          <w:color w:val="000000"/>
          <w:sz w:val="24"/>
          <w:szCs w:val="24"/>
        </w:rPr>
        <w:t xml:space="preserve"> г., но и на многие годы вперед за пределами этого периода. Однако доля нефти в общем объеме потребления ПЭР будет постепенно снижаться. Более быстрыми темпами будет расти потребление природного газа. К</w:t>
      </w:r>
      <w:r>
        <w:rPr>
          <w:noProof/>
          <w:color w:val="000000"/>
          <w:sz w:val="24"/>
          <w:szCs w:val="24"/>
        </w:rPr>
        <w:t xml:space="preserve"> 2015</w:t>
      </w:r>
      <w:r>
        <w:rPr>
          <w:color w:val="000000"/>
          <w:sz w:val="24"/>
          <w:szCs w:val="24"/>
        </w:rPr>
        <w:t xml:space="preserve"> г. в структуре потребления ПЭР газ, по оценке, выйдет на второе место, оттеснив уголь на третье. Несмотря на эти изменения в структуре потребления, львиная доля сохранится за ПЭР органического происхождения (более</w:t>
      </w:r>
      <w:r>
        <w:rPr>
          <w:noProof/>
          <w:color w:val="000000"/>
          <w:sz w:val="24"/>
          <w:szCs w:val="24"/>
        </w:rPr>
        <w:t xml:space="preserve"> 92%).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Доля электроэнергии АЭС, ГЭС и других источников энергии в общем потреблении ПЭР промышленно развитых стран к</w:t>
      </w:r>
      <w:r>
        <w:rPr>
          <w:noProof/>
          <w:color w:val="000000"/>
          <w:sz w:val="24"/>
          <w:szCs w:val="24"/>
        </w:rPr>
        <w:t xml:space="preserve"> 2015</w:t>
      </w:r>
      <w:r>
        <w:rPr>
          <w:color w:val="000000"/>
          <w:sz w:val="24"/>
          <w:szCs w:val="24"/>
        </w:rPr>
        <w:t xml:space="preserve"> г. возрастет до</w:t>
      </w:r>
      <w:r>
        <w:rPr>
          <w:noProof/>
          <w:color w:val="000000"/>
          <w:sz w:val="24"/>
          <w:szCs w:val="24"/>
        </w:rPr>
        <w:t xml:space="preserve"> 7,4%</w:t>
      </w:r>
      <w:r>
        <w:rPr>
          <w:color w:val="000000"/>
          <w:sz w:val="24"/>
          <w:szCs w:val="24"/>
        </w:rPr>
        <w:t xml:space="preserve"> по сравнению с</w:t>
      </w:r>
      <w:r>
        <w:rPr>
          <w:noProof/>
          <w:color w:val="000000"/>
          <w:sz w:val="24"/>
          <w:szCs w:val="24"/>
        </w:rPr>
        <w:t xml:space="preserve"> 6,5%</w:t>
      </w:r>
      <w:r>
        <w:rPr>
          <w:color w:val="000000"/>
          <w:sz w:val="24"/>
          <w:szCs w:val="24"/>
        </w:rPr>
        <w:t xml:space="preserve"> в</w:t>
      </w:r>
      <w:r>
        <w:rPr>
          <w:noProof/>
          <w:color w:val="000000"/>
          <w:sz w:val="24"/>
          <w:szCs w:val="24"/>
        </w:rPr>
        <w:t xml:space="preserve"> 1990</w:t>
      </w:r>
      <w:r>
        <w:rPr>
          <w:color w:val="000000"/>
          <w:sz w:val="24"/>
          <w:szCs w:val="24"/>
        </w:rPr>
        <w:t xml:space="preserve"> г. При этом темпы прироста использования энергии АЭС составят не более</w:t>
      </w:r>
      <w:r>
        <w:rPr>
          <w:noProof/>
          <w:color w:val="000000"/>
          <w:sz w:val="24"/>
          <w:szCs w:val="24"/>
        </w:rPr>
        <w:t xml:space="preserve"> 0,9—1% </w:t>
      </w:r>
      <w:r>
        <w:rPr>
          <w:color w:val="000000"/>
          <w:sz w:val="24"/>
          <w:szCs w:val="24"/>
        </w:rPr>
        <w:t>в год, в то время как от ГЭС и возобновляемых источников энергии превысят</w:t>
      </w:r>
      <w:r>
        <w:rPr>
          <w:noProof/>
          <w:color w:val="000000"/>
          <w:sz w:val="24"/>
          <w:szCs w:val="24"/>
        </w:rPr>
        <w:t xml:space="preserve"> 3%</w:t>
      </w:r>
      <w:r>
        <w:rPr>
          <w:color w:val="000000"/>
          <w:sz w:val="24"/>
          <w:szCs w:val="24"/>
        </w:rPr>
        <w:t xml:space="preserve"> в год.В свете изменений в структуре потребления ПЭР в экономике промышленно развитых стран долгосрочные перспективы развития НТП в отраслях ТЭК прежде всего связаны с этими сдвигами.В нефтяной и газовой промышленности основные направления НИОКР в долгосрочной перспективе следующие: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области разведки на нефть и газ НИОКР направлены на совершенствование методов трехмерной сейсмической разведки в труднодоступных регионах мира со сложным геологическим строением;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области бурения НИОКР направлены на совершенствование проводки горизонтальных скважин, широкое использование которых позволяет повысить эффективность разработки нефтяных и газовых месторождений.В нефтеперерабатывающей промышленности основные усилия будут направлены на совершенствование вторичных процессов с целью увеличения выхода светлых нефтепродуктов, в том числе неэтилированного бензина с высоким октановым числом и других высококачественных продуктов с целью уменьшения загрязнения окружающей среды вредными выбросами. Одновременно</w:t>
      </w:r>
      <w:r>
        <w:rPr>
          <w:noProof/>
          <w:color w:val="000000"/>
        </w:rPr>
        <w:t xml:space="preserve"> </w:t>
      </w:r>
      <w:r>
        <w:rPr>
          <w:color w:val="000000"/>
          <w:sz w:val="24"/>
          <w:szCs w:val="24"/>
        </w:rPr>
        <w:t>будут вестись исследования по замещению нефтепродуктов альтернативными видами топлива, в основном на транспорте (сжатым природным газом, электроэнергией, спиртами из природного газа, биомассой и т.д.).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Агропромышленный комплекс (АПК):В</w:t>
      </w:r>
      <w:r>
        <w:rPr>
          <w:noProof/>
          <w:color w:val="000000"/>
          <w:sz w:val="24"/>
          <w:szCs w:val="24"/>
        </w:rPr>
        <w:t xml:space="preserve"> 60—</w:t>
      </w:r>
      <w:r>
        <w:rPr>
          <w:color w:val="000000"/>
          <w:sz w:val="24"/>
          <w:szCs w:val="24"/>
        </w:rPr>
        <w:t>70-е годы</w:t>
      </w:r>
      <w:r>
        <w:rPr>
          <w:noProof/>
          <w:color w:val="000000"/>
          <w:sz w:val="24"/>
          <w:szCs w:val="24"/>
        </w:rPr>
        <w:t xml:space="preserve"> XX</w:t>
      </w:r>
      <w:r>
        <w:rPr>
          <w:color w:val="000000"/>
          <w:sz w:val="24"/>
          <w:szCs w:val="24"/>
        </w:rPr>
        <w:t xml:space="preserve"> в. в мировом сельском хозяйстве начался технологический сдвиг, который получил название "агропромышленная интеграция".Агропромышленная интеграция является новой формой объединения предприятий, отличной от объединений в промышленности и сфере услуг, ее главная особенность состоит в ее межотраслевом характере, в том, что она означает организованное и коммерческое объединение предприятий двух существенно отличающихся отраслей экономики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промышленности и сельского хозяйства.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известной степени агропромышленная интеграция преодолевает специфический характер сельскохозяйственного производства (подверженность природно-климатическим факторам, трудность предварительного планирования, прогнозирование веса и объема производимых овощей, фруктов и других сельхозпродуктов), включая сельское хозяйство в общий процесс промышленного производства. Интеграция отражает реально установившуюся в обществе взаимозависимость сельскохозяйственного и промышленного производства и в то же время еще больше усиливает эту взаимозависимость, создавая экономический, коммерческий механизм, стабильно обеспечивающий промышленность сельскохозяйственным сырьем.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Агропромышленная интеграция логически и исторически ведет к созданию агропромышленного комплекса. АПК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это сложившаяся в общественном производстве единая система сельскохозяйственных и промышленных предприятий и отраслей, спаянных интеграционными, т.е. тесными, стабильными, долговременными производственными и коммерческими связями, основывающимися на отношениях собственности или договорных, типа контрактации, и охватывающими всю агропромышленную цепь:производство важных средств производства для сельского хозяй ства, их транспортировку, производство исходных сельхозпродуктов, их хранение, транспортировку, переработку и сбыт готовых продуктов или изделий.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составе АПК выделяются три сферы: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1)</w:t>
      </w:r>
      <w:r>
        <w:rPr>
          <w:color w:val="000000"/>
          <w:sz w:val="24"/>
          <w:szCs w:val="24"/>
        </w:rPr>
        <w:t xml:space="preserve"> отрасли промышленности, поставляющие средства производства для сельского хозяйства и связанных с ним отраслей, а также осуществляющие производственно-техническое обслуживание сельского хозяйства;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2)</w:t>
      </w:r>
      <w:r>
        <w:rPr>
          <w:color w:val="000000"/>
          <w:sz w:val="24"/>
          <w:szCs w:val="24"/>
        </w:rPr>
        <w:t xml:space="preserve"> собственно сельское хозяйство;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3)</w:t>
      </w:r>
      <w:r>
        <w:rPr>
          <w:color w:val="000000"/>
          <w:sz w:val="24"/>
          <w:szCs w:val="24"/>
        </w:rPr>
        <w:t xml:space="preserve"> отрасли, занятые переработкой и доведением сельскохозяйственной продукции до потребителя (заготовка, переработка, хранение, транспортировка, реализация).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Ряд отраслей промышленности целиком (или почти целиком) обслуживают нужды АПК (производство сельхозмашин, удобрений, оборудования для животноводства и кормопроизводства и т.д.). Другие отрасли лишь частично заняты удовлетворением потребностей АПК. Они включаются в функциональную структуру АПК лишь в той мере, в какой их продукция идет на нужды АПК.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Становление АПК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новый этап развития общественного производства, имеющий своей основой развитие производительных сил земледелия, "промышленную революцию" в сельском хозяйстве, которое в этом смысле как бы догнало промышленность. Когда говорят, что производительные силы сельского хозяйства "догнали" или "сравнялись" с производительными силами промышленности, то это вовсе не означает, что технический и технологический уровень миллионов крестьянских хозяйств достиг уровня, существующего в промышленности. К сожалению, в мире, и прежде всего в развивающихся странах, все еще широко распространены мотыги, деревянные плуги и другие орудия и инвентарь, пришедшие в наше время из глубины веков и далеко не соответствующие современным промышленным производительным силам. Но человечество создало новые вещные средства производства для сельского хозяйства, близкие по своим параметрам (производительность, энергоемкость, экономия живого труда и т.д.) к средствам производства промышленности, технологический уровень мирового сельского хозяйства приблизился к технологическому уровню промышленности. В развитых государствах они уже преобладают в сельском хозяйстве, в развивающемся мире распространяются анклавами, островками, охватывая земледелие наиболее экономически и социально развитых регионов и стран.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развития агропромышленной интеграции и формирования АПК далеко продвинулся в промышленно развитых странах, прежде всего в США. В неизмеримо меньшей степени он наблюдается в развивающемся мире, где наряду с общими тенденциями и формами его проявления появляются специфические черты и формы, связанные со значительным отставанием агропромышленной сферы освободившихся стран и их экономической зависимости от Запада.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большинстве развивающихся стран важную роль в этом играют транснациональные корпорации (ТНК), которые выполняют функцию интеграторов. Это связано со многими факторами, в том числе с тем обстоятельством, что, создавая свои перерабатывающие предприятия в развивающихся странах, ТНК приносят с собой те формы и методы деятельности, которые сложились в государствах их базирования. В то же время в некоторых из стран агропромышленная интеграция определяется специфическими условиями сельскохозяйственного или промышленного производства, существующими в самих развивающихся странах. Например, ограниченность производства сырья в ряде этих стран заставляет ТНК искать такие формы его получения, которые бы гарантировали им бесперебойность снабжения, даже если это послужит причиной его нехватки на местном рынке.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Главным направлением международной агропромышленной интеграции в нынешних условиях становится решение крупнейшей глобальной проблемы современности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проблемы удовлетворения возрастающих потребностей населения земного шара в продуктах питания.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Фактор интенсификации сельскохозяйственного производства в последние десятилетия продолжал оставаться определяющим в отношении масштабов валовой продукции зерна в группе промышленно развитых стран. Зерновые хозяйства, как и сельское хозяйство в целом, по существу превратились в составную часть агропромышленного комплекса, в котором непосредственное сельскохозяйственное производство тесно объединено с переработкой, хранением и конечной реализацией продукции, а также с обеспечением фермерского хозяйства средствами производства. Интенсивный путь развития производства зерна в мире будет преобладать и впредь, ибо только этот путь может привести к смягчению кризисных явлений в снабжении продовольствием постоянно растущего населения планеты.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тем во многих развивающихся странах сохранились архаичные формы земледелия и землепользования, задерживалось проведение прогрессивных аграрных реформ. Кроме того, производство сельскохозяйственных культур во многих из них, особенно в странах Африки, остается сильно зависимым от условий погоды, оказывающей в отдельные годы буквально "опустошающее" воздействие на урожай зерновых. Развитие зернового производства в группе развивающихся стран становится все более зависимым от интенсивного фактора, крупных капитальных вложений в сельское хозяйство, инфраструктуру, сопутствующие отрасли промышленности, а также от проведения крупномасштабных мелиоративных работ.</w:t>
      </w:r>
    </w:p>
    <w:p w:rsidR="008268C9" w:rsidRDefault="008268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промышленно развитых странах происходила дальнейшая концентрация "излишков" зерна, поскольку производство превышало расход зерна, включая использование его на кормовые цели. В развивающихся странах, наоборот, в связи с увеличивающимися продовольственными потребностями возрастал дефицит зерна, среднедушевое производство здесь увеличивалось незначительно, а в ряде регионов продолжало снижаться, при том что физический его объем оставался весьма невысоким</w:t>
      </w:r>
      <w:r>
        <w:rPr>
          <w:noProof/>
          <w:color w:val="000000"/>
          <w:sz w:val="24"/>
          <w:szCs w:val="24"/>
        </w:rPr>
        <w:t xml:space="preserve"> — 230</w:t>
      </w:r>
      <w:r>
        <w:rPr>
          <w:color w:val="000000"/>
          <w:sz w:val="24"/>
          <w:szCs w:val="24"/>
        </w:rPr>
        <w:t xml:space="preserve"> кг в среднем к началу 90-х годов при</w:t>
      </w:r>
      <w:r>
        <w:rPr>
          <w:noProof/>
          <w:color w:val="000000"/>
          <w:sz w:val="24"/>
          <w:szCs w:val="24"/>
        </w:rPr>
        <w:t xml:space="preserve"> 720</w:t>
      </w:r>
      <w:r>
        <w:rPr>
          <w:color w:val="000000"/>
          <w:sz w:val="24"/>
          <w:szCs w:val="24"/>
        </w:rPr>
        <w:t xml:space="preserve"> кг в группе развитых стран (при этом в промышленно развитых странах, и прежде всего в США, принимались меры по ограничению производства).</w:t>
      </w:r>
    </w:p>
    <w:p w:rsidR="008268C9" w:rsidRDefault="008268C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268C9">
      <w:pgSz w:w="11906" w:h="16838"/>
      <w:pgMar w:top="1134" w:right="1134" w:bottom="1134" w:left="1134" w:header="1440" w:footer="1440" w:gutter="0"/>
      <w:cols w:sep="1" w:space="284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365A1"/>
    <w:multiLevelType w:val="hybridMultilevel"/>
    <w:tmpl w:val="A420EEF4"/>
    <w:lvl w:ilvl="0" w:tplc="6FD4B81C">
      <w:start w:val="1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FC"/>
    <w:rsid w:val="00521BE5"/>
    <w:rsid w:val="005E29FC"/>
    <w:rsid w:val="008268C9"/>
    <w:rsid w:val="009A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3E5E43-3430-4A46-BCCF-9A528090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b/>
      <w:bCs/>
      <w:sz w:val="18"/>
      <w:szCs w:val="18"/>
      <w:lang w:val="ru-RU" w:eastAsia="ru-RU"/>
    </w:rPr>
  </w:style>
  <w:style w:type="paragraph" w:styleId="2">
    <w:name w:val="Body Text 2"/>
    <w:basedOn w:val="a"/>
    <w:link w:val="20"/>
    <w:uiPriority w:val="99"/>
    <w:pPr>
      <w:widowControl w:val="0"/>
      <w:autoSpaceDE w:val="0"/>
      <w:autoSpaceDN w:val="0"/>
      <w:adjustRightInd w:val="0"/>
      <w:ind w:firstLine="260"/>
      <w:jc w:val="both"/>
    </w:pPr>
    <w:rPr>
      <w:sz w:val="18"/>
      <w:szCs w:val="1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pPr>
      <w:widowControl w:val="0"/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8605</Words>
  <Characters>4906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Топливно-энергетический комплекс (ТЭК), АПК  в мировой экономике</vt:lpstr>
    </vt:vector>
  </TitlesOfParts>
  <Company>PERSONAL COMPUTERS</Company>
  <LinksUpToDate>false</LinksUpToDate>
  <CharactersWithSpaces>13485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Топливно-энергетический комплекс (ТЭК), АПК  в мировой экономике</dc:title>
  <dc:subject/>
  <dc:creator>USER</dc:creator>
  <cp:keywords/>
  <dc:description/>
  <cp:lastModifiedBy>admin</cp:lastModifiedBy>
  <cp:revision>2</cp:revision>
  <dcterms:created xsi:type="dcterms:W3CDTF">2014-01-27T00:57:00Z</dcterms:created>
  <dcterms:modified xsi:type="dcterms:W3CDTF">2014-01-27T00:57:00Z</dcterms:modified>
</cp:coreProperties>
</file>