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21F" w:rsidRPr="0092651D" w:rsidRDefault="007B621F" w:rsidP="0092651D">
      <w:pPr>
        <w:pStyle w:val="1"/>
        <w:keepNext w:val="0"/>
        <w:widowControl w:val="0"/>
        <w:spacing w:line="360" w:lineRule="auto"/>
        <w:ind w:firstLine="709"/>
        <w:jc w:val="both"/>
        <w:rPr>
          <w:sz w:val="28"/>
        </w:rPr>
      </w:pPr>
      <w:bookmarkStart w:id="0" w:name="_Toc91403567"/>
      <w:r w:rsidRPr="0092651D">
        <w:rPr>
          <w:sz w:val="28"/>
        </w:rPr>
        <w:t>СОДЕРЖАНИЕ</w:t>
      </w:r>
      <w:bookmarkEnd w:id="0"/>
    </w:p>
    <w:p w:rsidR="007B621F" w:rsidRPr="0092651D" w:rsidRDefault="007B621F" w:rsidP="0092651D">
      <w:pPr>
        <w:pStyle w:val="1"/>
        <w:keepNext w:val="0"/>
        <w:widowControl w:val="0"/>
        <w:spacing w:line="360" w:lineRule="auto"/>
        <w:ind w:firstLine="709"/>
        <w:jc w:val="both"/>
        <w:rPr>
          <w:sz w:val="28"/>
        </w:rPr>
      </w:pPr>
    </w:p>
    <w:p w:rsidR="0092651D" w:rsidRPr="0092651D" w:rsidRDefault="0092651D" w:rsidP="0092651D">
      <w:pPr>
        <w:pStyle w:val="1"/>
        <w:widowControl w:val="0"/>
        <w:spacing w:line="360" w:lineRule="auto"/>
        <w:jc w:val="both"/>
        <w:rPr>
          <w:sz w:val="28"/>
          <w:szCs w:val="28"/>
        </w:rPr>
      </w:pPr>
      <w:bookmarkStart w:id="1" w:name="_Toc91403568"/>
      <w:bookmarkStart w:id="2" w:name="_Toc454301482"/>
      <w:bookmarkStart w:id="3" w:name="_Toc463220913"/>
      <w:r>
        <w:rPr>
          <w:sz w:val="28"/>
          <w:szCs w:val="28"/>
        </w:rPr>
        <w:t>ВВЕДЕНИЕ</w:t>
      </w:r>
    </w:p>
    <w:p w:rsidR="0092651D" w:rsidRPr="0092651D" w:rsidRDefault="0092651D" w:rsidP="0092651D">
      <w:pPr>
        <w:pStyle w:val="1"/>
        <w:widowControl w:val="0"/>
        <w:spacing w:line="360" w:lineRule="auto"/>
        <w:jc w:val="both"/>
        <w:rPr>
          <w:sz w:val="28"/>
          <w:szCs w:val="28"/>
        </w:rPr>
      </w:pPr>
      <w:r w:rsidRPr="0092651D">
        <w:rPr>
          <w:sz w:val="28"/>
          <w:szCs w:val="28"/>
        </w:rPr>
        <w:t>1. К</w:t>
      </w:r>
      <w:r>
        <w:rPr>
          <w:sz w:val="28"/>
          <w:szCs w:val="28"/>
        </w:rPr>
        <w:t>лассификация финансовых рисков</w:t>
      </w:r>
    </w:p>
    <w:p w:rsidR="0092651D" w:rsidRPr="0092651D" w:rsidRDefault="0092651D" w:rsidP="0092651D">
      <w:pPr>
        <w:pStyle w:val="1"/>
        <w:widowControl w:val="0"/>
        <w:spacing w:line="360" w:lineRule="auto"/>
        <w:jc w:val="both"/>
        <w:rPr>
          <w:sz w:val="28"/>
          <w:szCs w:val="28"/>
        </w:rPr>
      </w:pPr>
      <w:r w:rsidRPr="0092651D">
        <w:rPr>
          <w:sz w:val="28"/>
          <w:szCs w:val="28"/>
        </w:rPr>
        <w:t>2. Метод</w:t>
      </w:r>
      <w:r>
        <w:rPr>
          <w:sz w:val="28"/>
          <w:szCs w:val="28"/>
        </w:rPr>
        <w:t>ы управления финансовым риском</w:t>
      </w:r>
    </w:p>
    <w:p w:rsidR="0092651D" w:rsidRPr="0092651D" w:rsidRDefault="0092651D" w:rsidP="0092651D">
      <w:pPr>
        <w:pStyle w:val="1"/>
        <w:widowControl w:val="0"/>
        <w:spacing w:line="360" w:lineRule="auto"/>
        <w:jc w:val="both"/>
        <w:rPr>
          <w:sz w:val="28"/>
          <w:szCs w:val="28"/>
        </w:rPr>
      </w:pPr>
      <w:r w:rsidRPr="0092651D">
        <w:rPr>
          <w:sz w:val="28"/>
          <w:szCs w:val="28"/>
        </w:rPr>
        <w:t>СПИ</w:t>
      </w:r>
      <w:r>
        <w:rPr>
          <w:sz w:val="28"/>
          <w:szCs w:val="28"/>
        </w:rPr>
        <w:t>СОК ИСПОЛЬЗОВАННОЙ ЛИТЕРАТУРЫ</w:t>
      </w:r>
    </w:p>
    <w:p w:rsidR="0092651D" w:rsidRPr="0092651D" w:rsidRDefault="0092651D" w:rsidP="0092651D">
      <w:pPr>
        <w:pStyle w:val="1"/>
        <w:keepNext w:val="0"/>
        <w:widowControl w:val="0"/>
        <w:spacing w:line="360" w:lineRule="auto"/>
        <w:jc w:val="both"/>
        <w:rPr>
          <w:sz w:val="28"/>
          <w:szCs w:val="28"/>
        </w:rPr>
      </w:pPr>
    </w:p>
    <w:p w:rsidR="007B621F" w:rsidRPr="0092651D" w:rsidRDefault="0092651D" w:rsidP="0092651D">
      <w:pPr>
        <w:pStyle w:val="1"/>
        <w:keepNext w:val="0"/>
        <w:widowControl w:val="0"/>
        <w:spacing w:line="360" w:lineRule="auto"/>
        <w:ind w:firstLine="709"/>
        <w:jc w:val="both"/>
        <w:rPr>
          <w:bCs/>
          <w:sz w:val="28"/>
        </w:rPr>
      </w:pPr>
      <w:r>
        <w:rPr>
          <w:bCs/>
          <w:sz w:val="28"/>
        </w:rPr>
        <w:br w:type="page"/>
      </w:r>
      <w:r w:rsidR="007B621F" w:rsidRPr="0092651D">
        <w:rPr>
          <w:bCs/>
          <w:sz w:val="28"/>
        </w:rPr>
        <w:lastRenderedPageBreak/>
        <w:t>ВВЕДЕНИЕ</w:t>
      </w:r>
      <w:bookmarkEnd w:id="1"/>
    </w:p>
    <w:p w:rsidR="007B621F" w:rsidRPr="0092651D" w:rsidRDefault="007B621F" w:rsidP="0092651D">
      <w:pPr>
        <w:widowControl w:val="0"/>
        <w:spacing w:line="360" w:lineRule="auto"/>
        <w:ind w:firstLine="709"/>
        <w:jc w:val="both"/>
        <w:rPr>
          <w:sz w:val="28"/>
          <w:lang w:val="ru-RU"/>
        </w:rPr>
      </w:pPr>
    </w:p>
    <w:p w:rsidR="00AA6087" w:rsidRPr="0092651D" w:rsidRDefault="00D05C04" w:rsidP="0092651D">
      <w:pPr>
        <w:pStyle w:val="a5"/>
        <w:spacing w:line="360" w:lineRule="auto"/>
        <w:ind w:right="0" w:firstLine="709"/>
        <w:rPr>
          <w:sz w:val="28"/>
          <w:szCs w:val="28"/>
        </w:rPr>
      </w:pPr>
      <w:r w:rsidRPr="0092651D">
        <w:rPr>
          <w:sz w:val="28"/>
          <w:szCs w:val="28"/>
        </w:rPr>
        <w:t xml:space="preserve">Под риском </w:t>
      </w:r>
      <w:r w:rsidR="00AA6087" w:rsidRPr="0092651D">
        <w:rPr>
          <w:sz w:val="28"/>
          <w:szCs w:val="28"/>
        </w:rPr>
        <w:t>понимается возможная опасность потерь, вытекающая из специфики тех или иных явлений природы и видов деятельности человеческого общества. Риск – это историческая и экономическая категория.</w:t>
      </w:r>
    </w:p>
    <w:p w:rsidR="00AA6087" w:rsidRPr="0092651D" w:rsidRDefault="00C543BF" w:rsidP="0092651D">
      <w:pPr>
        <w:pStyle w:val="a5"/>
        <w:spacing w:line="360" w:lineRule="auto"/>
        <w:ind w:right="0" w:firstLine="709"/>
        <w:rPr>
          <w:sz w:val="28"/>
          <w:szCs w:val="28"/>
        </w:rPr>
      </w:pPr>
      <w:r>
        <w:rPr>
          <w:sz w:val="28"/>
          <w:szCs w:val="28"/>
        </w:rPr>
        <w:t xml:space="preserve">Как историческая </w:t>
      </w:r>
      <w:r w:rsidR="00AA6087" w:rsidRPr="0092651D">
        <w:rPr>
          <w:sz w:val="28"/>
          <w:szCs w:val="28"/>
        </w:rPr>
        <w:t>категория, риск представляет собой осознанную человеком возможную опасность. Она свидетельствует о том, что риск исторически связан со всем ходом общественного развития.</w:t>
      </w:r>
    </w:p>
    <w:p w:rsidR="00AA6087" w:rsidRPr="0092651D" w:rsidRDefault="00AA6087" w:rsidP="0092651D">
      <w:pPr>
        <w:pStyle w:val="a5"/>
        <w:spacing w:line="360" w:lineRule="auto"/>
        <w:ind w:right="0" w:firstLine="709"/>
        <w:rPr>
          <w:sz w:val="28"/>
          <w:szCs w:val="28"/>
        </w:rPr>
      </w:pPr>
      <w:r w:rsidRPr="0092651D">
        <w:rPr>
          <w:sz w:val="28"/>
          <w:szCs w:val="28"/>
        </w:rPr>
        <w:t>По мере развития цивилизации появляются товарно-денежные отношения и риск становится экономической категорией.</w:t>
      </w:r>
    </w:p>
    <w:p w:rsidR="00AA6087" w:rsidRPr="0092651D" w:rsidRDefault="00AA6087" w:rsidP="0092651D">
      <w:pPr>
        <w:pStyle w:val="a5"/>
        <w:spacing w:line="360" w:lineRule="auto"/>
        <w:ind w:right="0" w:firstLine="709"/>
        <w:rPr>
          <w:sz w:val="28"/>
          <w:szCs w:val="28"/>
        </w:rPr>
      </w:pPr>
      <w:r w:rsidRPr="0092651D">
        <w:rPr>
          <w:sz w:val="28"/>
          <w:szCs w:val="28"/>
        </w:rPr>
        <w:t>Как экономическая категория риск представляет собой событие, которое может произойти или не произойти. В случае совершения такого события возможны три экономических результата:</w:t>
      </w:r>
    </w:p>
    <w:p w:rsidR="00AA6087" w:rsidRPr="0092651D" w:rsidRDefault="00AA6087" w:rsidP="0092651D">
      <w:pPr>
        <w:pStyle w:val="a5"/>
        <w:numPr>
          <w:ilvl w:val="0"/>
          <w:numId w:val="22"/>
        </w:numPr>
        <w:spacing w:line="360" w:lineRule="auto"/>
        <w:ind w:left="0" w:right="0" w:firstLine="709"/>
        <w:rPr>
          <w:sz w:val="28"/>
          <w:szCs w:val="28"/>
        </w:rPr>
      </w:pPr>
      <w:r w:rsidRPr="0092651D">
        <w:rPr>
          <w:sz w:val="28"/>
          <w:szCs w:val="28"/>
        </w:rPr>
        <w:t>отрицательный (проигрыш, ущерб, убыток);</w:t>
      </w:r>
    </w:p>
    <w:p w:rsidR="00AA6087" w:rsidRPr="0092651D" w:rsidRDefault="00AA6087" w:rsidP="0092651D">
      <w:pPr>
        <w:pStyle w:val="a5"/>
        <w:numPr>
          <w:ilvl w:val="0"/>
          <w:numId w:val="22"/>
        </w:numPr>
        <w:spacing w:line="360" w:lineRule="auto"/>
        <w:ind w:left="0" w:right="0" w:firstLine="709"/>
        <w:rPr>
          <w:sz w:val="28"/>
          <w:szCs w:val="28"/>
        </w:rPr>
      </w:pPr>
      <w:r w:rsidRPr="0092651D">
        <w:rPr>
          <w:sz w:val="28"/>
          <w:szCs w:val="28"/>
        </w:rPr>
        <w:t>нулевой;</w:t>
      </w:r>
    </w:p>
    <w:p w:rsidR="00AA6087" w:rsidRPr="0092651D" w:rsidRDefault="00AA6087" w:rsidP="0092651D">
      <w:pPr>
        <w:pStyle w:val="a5"/>
        <w:numPr>
          <w:ilvl w:val="0"/>
          <w:numId w:val="22"/>
        </w:numPr>
        <w:spacing w:line="360" w:lineRule="auto"/>
        <w:ind w:left="0" w:right="0" w:firstLine="709"/>
        <w:rPr>
          <w:sz w:val="28"/>
          <w:szCs w:val="28"/>
        </w:rPr>
      </w:pPr>
      <w:r w:rsidRPr="0092651D">
        <w:rPr>
          <w:sz w:val="28"/>
          <w:szCs w:val="28"/>
        </w:rPr>
        <w:t>положительный (выигрыш, выгода, прибыль).</w:t>
      </w:r>
    </w:p>
    <w:p w:rsidR="00AA6087" w:rsidRPr="0092651D" w:rsidRDefault="00AA6087" w:rsidP="0092651D">
      <w:pPr>
        <w:pStyle w:val="a5"/>
        <w:spacing w:line="360" w:lineRule="auto"/>
        <w:ind w:right="0" w:firstLine="709"/>
        <w:rPr>
          <w:sz w:val="28"/>
          <w:szCs w:val="28"/>
        </w:rPr>
      </w:pPr>
      <w:r w:rsidRPr="0092651D">
        <w:rPr>
          <w:sz w:val="28"/>
          <w:szCs w:val="28"/>
        </w:rPr>
        <w:t>Риском можно управлять, то есть использовать различные меры, позволяющие в определенной степени прогнозировать наступление рискового события и принимать меры к снижению степени риска.</w:t>
      </w:r>
    </w:p>
    <w:p w:rsidR="00AA6087" w:rsidRPr="0092651D" w:rsidRDefault="00AA6087" w:rsidP="0092651D">
      <w:pPr>
        <w:pStyle w:val="a5"/>
        <w:spacing w:line="360" w:lineRule="auto"/>
        <w:ind w:right="0" w:firstLine="709"/>
        <w:rPr>
          <w:sz w:val="28"/>
          <w:szCs w:val="28"/>
        </w:rPr>
      </w:pPr>
      <w:r w:rsidRPr="0092651D">
        <w:rPr>
          <w:sz w:val="28"/>
          <w:szCs w:val="28"/>
        </w:rPr>
        <w:t>Риски оказывают очень большое влияние на поведение людей, а следовательно и коммерческих организаций. Поэтому их анализ может помочь в объяснении тех или иных действий, совершаемых теми или иными субъектами рыночных отношений.</w:t>
      </w:r>
    </w:p>
    <w:p w:rsidR="00AA6087" w:rsidRPr="00C543BF" w:rsidRDefault="00AA6087" w:rsidP="0092651D">
      <w:pPr>
        <w:pStyle w:val="2"/>
        <w:keepNext w:val="0"/>
        <w:widowControl w:val="0"/>
        <w:spacing w:before="0" w:after="0" w:line="360" w:lineRule="auto"/>
        <w:ind w:firstLine="709"/>
        <w:jc w:val="both"/>
        <w:rPr>
          <w:rFonts w:ascii="Times New Roman" w:hAnsi="Times New Roman"/>
          <w:b w:val="0"/>
          <w:i w:val="0"/>
          <w:sz w:val="28"/>
        </w:rPr>
      </w:pPr>
    </w:p>
    <w:p w:rsidR="004A1E3A" w:rsidRPr="0092651D" w:rsidRDefault="0092651D" w:rsidP="0092651D">
      <w:pPr>
        <w:pStyle w:val="1"/>
        <w:keepNext w:val="0"/>
        <w:widowControl w:val="0"/>
        <w:spacing w:line="360" w:lineRule="auto"/>
        <w:ind w:firstLine="709"/>
        <w:jc w:val="both"/>
        <w:rPr>
          <w:bCs/>
          <w:sz w:val="28"/>
        </w:rPr>
      </w:pPr>
      <w:bookmarkStart w:id="4" w:name="_Toc91403569"/>
      <w:r>
        <w:rPr>
          <w:bCs/>
          <w:sz w:val="28"/>
        </w:rPr>
        <w:br w:type="page"/>
      </w:r>
      <w:r w:rsidR="007B621F" w:rsidRPr="0092651D">
        <w:rPr>
          <w:bCs/>
          <w:sz w:val="28"/>
        </w:rPr>
        <w:t xml:space="preserve">1. </w:t>
      </w:r>
      <w:r w:rsidR="004A1E3A" w:rsidRPr="0092651D">
        <w:rPr>
          <w:bCs/>
          <w:sz w:val="28"/>
        </w:rPr>
        <w:t>Классификация финансовых рисков</w:t>
      </w:r>
      <w:bookmarkEnd w:id="2"/>
      <w:bookmarkEnd w:id="3"/>
      <w:bookmarkEnd w:id="4"/>
    </w:p>
    <w:p w:rsidR="004A1E3A" w:rsidRPr="0092651D" w:rsidRDefault="004A1E3A" w:rsidP="0092651D">
      <w:pPr>
        <w:widowControl w:val="0"/>
        <w:spacing w:line="360" w:lineRule="auto"/>
        <w:ind w:firstLine="709"/>
        <w:jc w:val="both"/>
        <w:rPr>
          <w:snapToGrid w:val="0"/>
          <w:sz w:val="28"/>
          <w:lang w:val="ru-RU"/>
        </w:rPr>
      </w:pP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Финансовый риск возникает в процессе отношений предприятия с финансовыми институтами (банками, финансовыми, инвестиционными,. страховыми компаниями, биржами и др.). Причины финансового риска - инфляционные факторы, рост учетных ставок банка, снижение стоимости ценных бумаг и др.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Финансовые риски подразделяются на два вида: </w:t>
      </w:r>
    </w:p>
    <w:p w:rsidR="004A1E3A" w:rsidRPr="0092651D" w:rsidRDefault="004A1E3A" w:rsidP="0092651D">
      <w:pPr>
        <w:widowControl w:val="0"/>
        <w:numPr>
          <w:ilvl w:val="0"/>
          <w:numId w:val="5"/>
        </w:numPr>
        <w:spacing w:line="360" w:lineRule="auto"/>
        <w:ind w:left="0" w:firstLine="709"/>
        <w:jc w:val="both"/>
        <w:rPr>
          <w:snapToGrid w:val="0"/>
          <w:sz w:val="28"/>
          <w:lang w:val="ru-RU"/>
        </w:rPr>
      </w:pPr>
      <w:r w:rsidRPr="0092651D">
        <w:rPr>
          <w:snapToGrid w:val="0"/>
          <w:sz w:val="28"/>
          <w:lang w:val="ru-RU"/>
        </w:rPr>
        <w:t xml:space="preserve">риски, связанные с покупательной способностью денег; </w:t>
      </w:r>
    </w:p>
    <w:p w:rsidR="004A1E3A" w:rsidRPr="0092651D" w:rsidRDefault="004A1E3A" w:rsidP="0092651D">
      <w:pPr>
        <w:widowControl w:val="0"/>
        <w:numPr>
          <w:ilvl w:val="0"/>
          <w:numId w:val="5"/>
        </w:numPr>
        <w:spacing w:line="360" w:lineRule="auto"/>
        <w:ind w:left="0" w:firstLine="709"/>
        <w:jc w:val="both"/>
        <w:rPr>
          <w:snapToGrid w:val="0"/>
          <w:sz w:val="28"/>
          <w:lang w:val="ru-RU"/>
        </w:rPr>
      </w:pPr>
      <w:r w:rsidRPr="0092651D">
        <w:rPr>
          <w:snapToGrid w:val="0"/>
          <w:sz w:val="28"/>
          <w:lang w:val="ru-RU"/>
        </w:rPr>
        <w:t xml:space="preserve">риски, связанные с вложением капитала (инвестиционные риски).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К рискам, связанным с покупательной способностью денег, относятся следующие разновидности рисков: инфляционные и дефляционные риски, валютные риски, риск ликвидности.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Инфляция означает обесценение денег и, соответственно, рост цен. Дефляция - это процесс, обратный инфляции, он выражается в снижении цен и, соответственно, в увеличении покупательной способности денег.</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 Инфляционный риск - это риск того, что при росте инфляции получаемые денежные доходы обесцениваются с точки зрения реальной покупательной способности быстрее, чем растут. В таких условиях предприниматель несет реальные потери.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Дефляционный риск - это риск того, что при росте дефляции происходит падение уровня цен, ухудшение экономических условий предпринимательства и снижение доходов.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Валютные риски представляют собой опасность валютных потерь, связанных с изменением курса одной иностранной валюты по отношению к другой при проведении внешнеэкономических, кредитных и других валютных операций.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Риски ликвидности - это риски, связанные с возможностью потерь при реализации ценных бумаг или других товаров из-за изменения оценки их качества и потребительной стоимости.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Инвестиционные риски включают в себя следующие подвиды рисков: </w:t>
      </w:r>
    </w:p>
    <w:p w:rsidR="004A1E3A" w:rsidRPr="0092651D" w:rsidRDefault="004A1E3A" w:rsidP="0092651D">
      <w:pPr>
        <w:widowControl w:val="0"/>
        <w:numPr>
          <w:ilvl w:val="0"/>
          <w:numId w:val="6"/>
        </w:numPr>
        <w:spacing w:line="360" w:lineRule="auto"/>
        <w:ind w:left="0" w:firstLine="709"/>
        <w:jc w:val="both"/>
        <w:rPr>
          <w:snapToGrid w:val="0"/>
          <w:sz w:val="28"/>
          <w:lang w:val="ru-RU"/>
        </w:rPr>
      </w:pPr>
      <w:r w:rsidRPr="0092651D">
        <w:rPr>
          <w:snapToGrid w:val="0"/>
          <w:sz w:val="28"/>
          <w:lang w:val="ru-RU"/>
        </w:rPr>
        <w:t xml:space="preserve">риск упущенной выгоды; </w:t>
      </w:r>
    </w:p>
    <w:p w:rsidR="004A1E3A" w:rsidRPr="0092651D" w:rsidRDefault="004A1E3A" w:rsidP="0092651D">
      <w:pPr>
        <w:widowControl w:val="0"/>
        <w:numPr>
          <w:ilvl w:val="0"/>
          <w:numId w:val="6"/>
        </w:numPr>
        <w:spacing w:line="360" w:lineRule="auto"/>
        <w:ind w:left="0" w:firstLine="709"/>
        <w:jc w:val="both"/>
        <w:rPr>
          <w:snapToGrid w:val="0"/>
          <w:sz w:val="28"/>
          <w:lang w:val="ru-RU"/>
        </w:rPr>
      </w:pPr>
      <w:r w:rsidRPr="0092651D">
        <w:rPr>
          <w:snapToGrid w:val="0"/>
          <w:sz w:val="28"/>
          <w:lang w:val="ru-RU"/>
        </w:rPr>
        <w:t xml:space="preserve">риск снижения доходности; </w:t>
      </w:r>
    </w:p>
    <w:p w:rsidR="004A1E3A" w:rsidRPr="0092651D" w:rsidRDefault="004A1E3A" w:rsidP="0092651D">
      <w:pPr>
        <w:widowControl w:val="0"/>
        <w:numPr>
          <w:ilvl w:val="0"/>
          <w:numId w:val="6"/>
        </w:numPr>
        <w:spacing w:line="360" w:lineRule="auto"/>
        <w:ind w:left="0" w:firstLine="709"/>
        <w:jc w:val="both"/>
        <w:rPr>
          <w:snapToGrid w:val="0"/>
          <w:sz w:val="28"/>
          <w:lang w:val="ru-RU"/>
        </w:rPr>
      </w:pPr>
      <w:r w:rsidRPr="0092651D">
        <w:rPr>
          <w:snapToGrid w:val="0"/>
          <w:sz w:val="28"/>
          <w:lang w:val="ru-RU"/>
        </w:rPr>
        <w:t xml:space="preserve">риск прямых финансовых потерь.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Риск упущенной выгоды - это риск наступления косвенного (побочного) финансового ущерба (неполученная прибыль) в результате неосуществления какого-либо мероприятия (например, страхование, хеджирование, инвестирование т.п.).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Риск снижения доходности может возникнуть в результате уменьшения размера процентов и дивидендов по портфельным инвестициям, по вкладам и кредитам.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Портфельные инвестиции связаны с формированием инвестиционного портфеля и представляют собой приобретение ценных бумаг и других активов. Термин «портфельный» происходит от итальянского «</w:t>
      </w:r>
      <w:r w:rsidRPr="0092651D">
        <w:rPr>
          <w:snapToGrid w:val="0"/>
          <w:sz w:val="28"/>
          <w:lang w:val="it-IT"/>
        </w:rPr>
        <w:t>Porte foglio</w:t>
      </w:r>
      <w:r w:rsidRPr="0092651D">
        <w:rPr>
          <w:snapToGrid w:val="0"/>
          <w:sz w:val="28"/>
          <w:lang w:val="ru-RU"/>
        </w:rPr>
        <w:t xml:space="preserve">» в значении совокупности ценных бумаг, которые имеются у инвестора.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Риск снижения доходности включает в себя следующие разновидности: процентные риски и кредитные риски.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К процентным рискам относится опасность потерь коммерческими банками, кредитными учреждениями, инвестиционными институтами в результате превышения процентных ставок, выплачиваемых ими по привлеченным средствам, над ставками по предоставленным кредитам. К процентным рискам относятся также риски потерь, которые могут понести инвесторы в связи с изменением дивидендов по акциям, процентных ставок на рынке по облигациям, сертификатам и другим ценным бумагам.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Рост рыночной ставки процента ведет к понижению курсовой стоимости ценных бумаг, особенно облигаций с фиксированным процентом. При повышении процента может начаться также массовый сброс ценных бумаг, эмитированных под более низкие фиксированные проценты и, по условиям выпуска, досрочно принимаемых обратно эмитентом. Процентный риск несет инвестор, вложивший средства в среднесрочные и долгосрочные ценные бумаги с фиксированным процентом при текущем повышении среднерыночного процента в сравнении с фиксированным уровнем. Иными словами, инвестор мог бы получить прирост доходов за счет повышения процента, но не может высвободить свои средства, вложенные на указанных выше условиях. </w:t>
      </w:r>
    </w:p>
    <w:p w:rsidR="004A1E3A" w:rsidRPr="0092651D" w:rsidRDefault="004A1E3A" w:rsidP="0092651D">
      <w:pPr>
        <w:pStyle w:val="a3"/>
        <w:spacing w:line="360" w:lineRule="auto"/>
        <w:ind w:left="0" w:right="0" w:firstLine="709"/>
        <w:rPr>
          <w:sz w:val="28"/>
        </w:rPr>
      </w:pPr>
      <w:r w:rsidRPr="0092651D">
        <w:rPr>
          <w:sz w:val="28"/>
        </w:rPr>
        <w:t xml:space="preserve">Процентный риск несет эмитент, выпускающий в обращение среднесрочные и долгосрочные ценные бумаги с фиксированным процентом при текущем понижении среднерыночного процента в сравнении с фиксированным уровнем. Иначе говоря, эмитент мог бы привлекать средства с рынка под более низкий процент, но он уже связан сделанным им выпуском ценных бумаг.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Этот вид риска при быстром росте процентных ставок в условиях инфляции имеет значение и для краткосрочных бумаг.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Кредитный риск - опасность неуплаты заемщиком основного долга и процентов, причитающихся кредитору. К. кредитному риску относится также риск такого события, при котором эмитент, выпустивший долговые ценные бумаги, окажется не в состоянии выплачивать проценты по ним или основную сумму долга.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Кредитный риск может быть также разновидностью рисков прямых финансовых потерь.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Риски прямых финансовых потерь включают в себя следующие разновидности: биржевой риск, селективный риск, риск банкротства, а также кредитный риск.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Биржевые риски представляют собой опасность потерь от биржевых сделок. К этим рискам относятся: риск неплатежа по коммерческим сделкам, риск неплатежа комиссионного вознаграждения брокерской фирмы и т.п.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Селективные риски (от лат. </w:t>
      </w:r>
      <w:r w:rsidRPr="0092651D">
        <w:rPr>
          <w:noProof/>
          <w:snapToGrid w:val="0"/>
          <w:sz w:val="28"/>
        </w:rPr>
        <w:t>selectio</w:t>
      </w:r>
      <w:r w:rsidRPr="0092651D">
        <w:rPr>
          <w:snapToGrid w:val="0"/>
          <w:sz w:val="28"/>
          <w:lang w:val="ru-RU"/>
        </w:rPr>
        <w:t xml:space="preserve"> - выбор, отбор) - это риски неправильного выбора способа вложения капитала, вида ценных бумаг для инвестирования в сравнении с другими видами ценных бумаг при формировании инвестиционного портфеля.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Риск банкротства представляет собой опасность в результате неправильного выбора способа вложения капитала, полной потери предпринимателем собственного капитала и неспособности его рассчитываться по взятым на себя обязательствам. В результате предприниматель становится банкротом.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Финансовый риск представляет собой функцию времени. Как правило, степень риска для данного финансового актива или варианта вложения капитала увеличивается во времени. Например, убытки импортера сегодня зависят от времени от момента заключения контракта до срока платежа по сделке, так как курсы иностранной валюты по отношению к российскому рублю продолжают расти.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В зарубежной практике в качестве метода количественного определения риска вложения капитала предлагается использовать древо вероятностей.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Этот метод позволяет точно определить вероятные будущие денежные потоки инвестиционного проекта в их связи с результатами предыдущих периодов времени. Если проект вложения капитала приемлем в первом периоде времени, то он может быть также приемлем и в последующих периодах времени.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Если же предполагается, что денежные потоки в разных периодах времени являются независимыми друг от друга, тогда необходимо определить вероятное распределение результатов денежных потоков для каждого периода времени.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В случае, когда связь между денежными потоками в разных периодах времени существует, необходимо принять данную зависимость и на ее основе представить будущие события так, как они могут произойти. </w:t>
      </w:r>
    </w:p>
    <w:p w:rsidR="004A1E3A" w:rsidRPr="0092651D" w:rsidRDefault="004A1E3A" w:rsidP="0092651D">
      <w:pPr>
        <w:widowControl w:val="0"/>
        <w:spacing w:line="360" w:lineRule="auto"/>
        <w:ind w:firstLine="709"/>
        <w:jc w:val="both"/>
        <w:rPr>
          <w:snapToGrid w:val="0"/>
          <w:sz w:val="28"/>
          <w:lang w:val="ru-RU"/>
        </w:rPr>
      </w:pPr>
    </w:p>
    <w:p w:rsidR="004A1E3A" w:rsidRPr="0092651D" w:rsidRDefault="007B621F" w:rsidP="0092651D">
      <w:pPr>
        <w:pStyle w:val="1"/>
        <w:keepNext w:val="0"/>
        <w:widowControl w:val="0"/>
        <w:spacing w:line="360" w:lineRule="auto"/>
        <w:ind w:firstLine="709"/>
        <w:jc w:val="both"/>
        <w:rPr>
          <w:bCs/>
          <w:sz w:val="28"/>
        </w:rPr>
      </w:pPr>
      <w:bookmarkStart w:id="5" w:name="_Toc454301491"/>
      <w:bookmarkStart w:id="6" w:name="_Toc463220922"/>
      <w:bookmarkStart w:id="7" w:name="_Toc91403570"/>
      <w:r w:rsidRPr="0092651D">
        <w:rPr>
          <w:bCs/>
          <w:sz w:val="28"/>
        </w:rPr>
        <w:t xml:space="preserve">2. </w:t>
      </w:r>
      <w:r w:rsidR="004A1E3A" w:rsidRPr="0092651D">
        <w:rPr>
          <w:bCs/>
          <w:sz w:val="28"/>
        </w:rPr>
        <w:t>Методы управления финансовым риском</w:t>
      </w:r>
      <w:bookmarkEnd w:id="5"/>
      <w:bookmarkEnd w:id="6"/>
      <w:bookmarkEnd w:id="7"/>
    </w:p>
    <w:p w:rsidR="004A1E3A" w:rsidRPr="0092651D" w:rsidRDefault="004A1E3A" w:rsidP="0092651D">
      <w:pPr>
        <w:widowControl w:val="0"/>
        <w:spacing w:line="360" w:lineRule="auto"/>
        <w:ind w:firstLine="709"/>
        <w:jc w:val="both"/>
        <w:rPr>
          <w:snapToGrid w:val="0"/>
          <w:sz w:val="28"/>
          <w:lang w:val="ru-RU"/>
        </w:rPr>
      </w:pP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Залогом выживаемости и основой стабильного положения предприятия служит его устойчивость. Различают следующие грани устойчивости: общая, ценовая, финансовая и т.п. Финансовая устойчивость является главным компонентом общей устойчивости предприятия.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Финансовая устойчивость предприятия - это такое состояние его финансовых ресурсов, их перераспределения и использования, когда обеспечиваются развитие предприятия на основе собственной прибыли и рост капитала при сохранении его платежеспособности и кредитоспособности в условиях допустимого уровня финансового риска.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Таким образом, задача финансового менеджера заключается в том, чтобы привести в соответствие различные параметры финансовой устойчивости предприятия и общий уровень риска.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Целью управления финансовым риском является снижение потерь, связанных с данным риском до минимума. Потери могут быть оценены в денежном выражении, оцениваются также шаги по их предотвращению. Финансовый менеджер должен уравновесить эти две оценки и спланировать, как лучше заключить сделку с позиции минимизации риска.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В целом методы защиты от финансовых рисков могут быть классифицированы в зависимости от объекта воздействия на два вида: физическая защита, экономическая защита. Физическая защита заключается в использовании таких средств, как сигнализация, приобретение сейфов, системы контроля качества продукции, защита данных от несанкционированного доступа, наем охраны и т.д.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Экономическая защита заключается в прогнозировании уровня дополнительных затрат, оценке тяжести возможного ущерба, использовании всего финансового механизма для ликвидации угрозы риска или его последствий.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Кроме того, общеизвестны четыре метода управления риском: упразднение, предотвращение потерь и контроль, страхование, поглощение. </w:t>
      </w:r>
    </w:p>
    <w:p w:rsidR="004A1E3A" w:rsidRPr="0092651D" w:rsidRDefault="004A1E3A" w:rsidP="0092651D">
      <w:pPr>
        <w:widowControl w:val="0"/>
        <w:numPr>
          <w:ilvl w:val="0"/>
          <w:numId w:val="15"/>
        </w:numPr>
        <w:tabs>
          <w:tab w:val="clear" w:pos="801"/>
        </w:tabs>
        <w:spacing w:line="360" w:lineRule="auto"/>
        <w:ind w:left="0" w:firstLine="709"/>
        <w:jc w:val="both"/>
        <w:rPr>
          <w:snapToGrid w:val="0"/>
          <w:sz w:val="28"/>
          <w:lang w:val="ru-RU"/>
        </w:rPr>
      </w:pPr>
      <w:r w:rsidRPr="0092651D">
        <w:rPr>
          <w:snapToGrid w:val="0"/>
          <w:sz w:val="28"/>
          <w:lang w:val="ru-RU"/>
        </w:rPr>
        <w:t xml:space="preserve">Упразднение заключается в отказе от совершения рискового мероприятия. Но для финансового предпринимательства упразднение риска обычно упраздняет и прибыль. </w:t>
      </w:r>
    </w:p>
    <w:p w:rsidR="004A1E3A" w:rsidRPr="0092651D" w:rsidRDefault="004A1E3A" w:rsidP="0092651D">
      <w:pPr>
        <w:widowControl w:val="0"/>
        <w:numPr>
          <w:ilvl w:val="0"/>
          <w:numId w:val="15"/>
        </w:numPr>
        <w:tabs>
          <w:tab w:val="clear" w:pos="801"/>
        </w:tabs>
        <w:spacing w:line="360" w:lineRule="auto"/>
        <w:ind w:left="0" w:firstLine="709"/>
        <w:jc w:val="both"/>
        <w:rPr>
          <w:snapToGrid w:val="0"/>
          <w:sz w:val="28"/>
          <w:lang w:val="ru-RU"/>
        </w:rPr>
      </w:pPr>
      <w:r w:rsidRPr="0092651D">
        <w:rPr>
          <w:snapToGrid w:val="0"/>
          <w:sz w:val="28"/>
          <w:lang w:val="ru-RU"/>
        </w:rPr>
        <w:t xml:space="preserve">Предотвращение потерь и контроль как метод управления финансовым риском означает определенный набор превентивных и последующих действий, которые обусловлены необходимостью предотвратить негативные последствия, уберечься от случайностей, контролировать их размер, если потери уже имеют место или неизбежны. </w:t>
      </w:r>
    </w:p>
    <w:p w:rsidR="004A1E3A" w:rsidRPr="0092651D" w:rsidRDefault="004A1E3A" w:rsidP="0092651D">
      <w:pPr>
        <w:widowControl w:val="0"/>
        <w:numPr>
          <w:ilvl w:val="0"/>
          <w:numId w:val="15"/>
        </w:numPr>
        <w:tabs>
          <w:tab w:val="clear" w:pos="801"/>
        </w:tabs>
        <w:spacing w:line="360" w:lineRule="auto"/>
        <w:ind w:left="0" w:firstLine="709"/>
        <w:jc w:val="both"/>
        <w:rPr>
          <w:snapToGrid w:val="0"/>
          <w:sz w:val="28"/>
          <w:lang w:val="ru-RU"/>
        </w:rPr>
      </w:pPr>
      <w:r w:rsidRPr="0092651D">
        <w:rPr>
          <w:snapToGrid w:val="0"/>
          <w:sz w:val="28"/>
          <w:lang w:val="ru-RU"/>
        </w:rPr>
        <w:t xml:space="preserve">Сущность страхования выражается в том, что инвестор готов отказаться от части доходов, лишь бы избежать риска, т.е. он готов заплатить за снижение риска до нуля.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Для страхования характерны целевое назначение создаваемого денежного фонда, расходование его ресурсов лишь на покрытие потерь в заранее оговоренных случаях; вероятностный характер отношений; возвратность средств. Страхование как метод управления риском означает два вида действий: 1) перераспределение потерь среди группы предпринимателей, подвергшихся однотипному риску (самострахование); 2) обращение за помощью к страховой фирме.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Крупные фирмы обычно прибегают к самострахованию, т.е. процессу, при котором организация, часто подвергающаяся однотипному риску, заранее откладывает средства, из которых в результате покрывает убытки. Тем самым можно избежать дорогостоящей сделки со страховой фирмой. </w:t>
      </w:r>
    </w:p>
    <w:p w:rsidR="004A1E3A" w:rsidRPr="0092651D" w:rsidRDefault="004A1E3A" w:rsidP="0092651D">
      <w:pPr>
        <w:widowControl w:val="0"/>
        <w:spacing w:line="360" w:lineRule="auto"/>
        <w:ind w:firstLine="709"/>
        <w:jc w:val="both"/>
        <w:rPr>
          <w:snapToGrid w:val="0"/>
          <w:sz w:val="28"/>
          <w:lang w:val="ru-RU"/>
        </w:rPr>
      </w:pPr>
      <w:r w:rsidRPr="0092651D">
        <w:rPr>
          <w:snapToGrid w:val="0"/>
          <w:sz w:val="28"/>
          <w:lang w:val="ru-RU"/>
        </w:rPr>
        <w:t xml:space="preserve">Когда же используют страхование как услугу кредитного рынка, то это обязывает финансового менеджера определить приемлемое для него соотношение между страховой премией и страховой суммой. Страховая премия - это плата за страховой риск страхователя страховщику. Страховая сумма - это денежная сумма, на которую застрахованы материальные ценности или ответственность страхователя. </w:t>
      </w:r>
    </w:p>
    <w:p w:rsidR="004A1E3A" w:rsidRPr="0092651D" w:rsidRDefault="004A1E3A" w:rsidP="0092651D">
      <w:pPr>
        <w:widowControl w:val="0"/>
        <w:numPr>
          <w:ilvl w:val="0"/>
          <w:numId w:val="15"/>
        </w:numPr>
        <w:tabs>
          <w:tab w:val="clear" w:pos="801"/>
          <w:tab w:val="num" w:pos="-2552"/>
        </w:tabs>
        <w:spacing w:line="360" w:lineRule="auto"/>
        <w:ind w:left="0" w:firstLine="709"/>
        <w:jc w:val="both"/>
        <w:rPr>
          <w:snapToGrid w:val="0"/>
          <w:sz w:val="28"/>
          <w:lang w:val="ru-RU"/>
        </w:rPr>
      </w:pPr>
      <w:r w:rsidRPr="0092651D">
        <w:rPr>
          <w:snapToGrid w:val="0"/>
          <w:sz w:val="28"/>
          <w:lang w:val="ru-RU"/>
        </w:rPr>
        <w:t xml:space="preserve">Поглощение состоит в признании ущерба и отказе от его страхования. К поглощению прибегают, когда сумма предполагаемого ущерба незначительно мала и ей можно пренебречь. </w:t>
      </w:r>
    </w:p>
    <w:p w:rsidR="004A1E3A" w:rsidRPr="0092651D" w:rsidRDefault="004A1E3A" w:rsidP="0092651D">
      <w:pPr>
        <w:widowControl w:val="0"/>
        <w:tabs>
          <w:tab w:val="num" w:pos="-2552"/>
        </w:tabs>
        <w:spacing w:line="360" w:lineRule="auto"/>
        <w:ind w:firstLine="709"/>
        <w:jc w:val="both"/>
        <w:rPr>
          <w:snapToGrid w:val="0"/>
          <w:sz w:val="28"/>
          <w:lang w:val="ru-RU"/>
        </w:rPr>
      </w:pPr>
      <w:r w:rsidRPr="0092651D">
        <w:rPr>
          <w:snapToGrid w:val="0"/>
          <w:sz w:val="28"/>
          <w:lang w:val="ru-RU"/>
        </w:rPr>
        <w:t xml:space="preserve">При выборе конкретного средства разрешения финансового риска инвестор должен исходить из следующих принципов: </w:t>
      </w:r>
    </w:p>
    <w:p w:rsidR="004A1E3A" w:rsidRPr="0092651D" w:rsidRDefault="004A1E3A" w:rsidP="0092651D">
      <w:pPr>
        <w:widowControl w:val="0"/>
        <w:numPr>
          <w:ilvl w:val="0"/>
          <w:numId w:val="17"/>
        </w:numPr>
        <w:tabs>
          <w:tab w:val="clear" w:pos="360"/>
          <w:tab w:val="num" w:pos="-2552"/>
        </w:tabs>
        <w:spacing w:line="360" w:lineRule="auto"/>
        <w:ind w:left="0" w:firstLine="709"/>
        <w:jc w:val="both"/>
        <w:rPr>
          <w:snapToGrid w:val="0"/>
          <w:sz w:val="28"/>
          <w:lang w:val="ru-RU"/>
        </w:rPr>
      </w:pPr>
      <w:r w:rsidRPr="0092651D">
        <w:rPr>
          <w:snapToGrid w:val="0"/>
          <w:sz w:val="28"/>
          <w:lang w:val="ru-RU"/>
        </w:rPr>
        <w:t xml:space="preserve">нельзя рисковать больше, чем это может позволить собственный капитал; </w:t>
      </w:r>
    </w:p>
    <w:p w:rsidR="004A1E3A" w:rsidRPr="0092651D" w:rsidRDefault="004A1E3A" w:rsidP="0092651D">
      <w:pPr>
        <w:widowControl w:val="0"/>
        <w:numPr>
          <w:ilvl w:val="0"/>
          <w:numId w:val="17"/>
        </w:numPr>
        <w:tabs>
          <w:tab w:val="clear" w:pos="360"/>
          <w:tab w:val="num" w:pos="-2552"/>
        </w:tabs>
        <w:spacing w:line="360" w:lineRule="auto"/>
        <w:ind w:left="0" w:firstLine="709"/>
        <w:jc w:val="both"/>
        <w:rPr>
          <w:snapToGrid w:val="0"/>
          <w:sz w:val="28"/>
          <w:lang w:val="ru-RU"/>
        </w:rPr>
      </w:pPr>
      <w:r w:rsidRPr="0092651D">
        <w:rPr>
          <w:snapToGrid w:val="0"/>
          <w:sz w:val="28"/>
          <w:lang w:val="ru-RU"/>
        </w:rPr>
        <w:t xml:space="preserve">нельзя рисковать многим ради малого; </w:t>
      </w:r>
    </w:p>
    <w:p w:rsidR="004A1E3A" w:rsidRPr="0092651D" w:rsidRDefault="004A1E3A" w:rsidP="0092651D">
      <w:pPr>
        <w:widowControl w:val="0"/>
        <w:numPr>
          <w:ilvl w:val="0"/>
          <w:numId w:val="17"/>
        </w:numPr>
        <w:tabs>
          <w:tab w:val="clear" w:pos="360"/>
          <w:tab w:val="num" w:pos="-2552"/>
        </w:tabs>
        <w:spacing w:line="360" w:lineRule="auto"/>
        <w:ind w:left="0" w:firstLine="709"/>
        <w:jc w:val="both"/>
        <w:rPr>
          <w:snapToGrid w:val="0"/>
          <w:sz w:val="28"/>
          <w:lang w:val="ru-RU"/>
        </w:rPr>
      </w:pPr>
      <w:r w:rsidRPr="0092651D">
        <w:rPr>
          <w:snapToGrid w:val="0"/>
          <w:sz w:val="28"/>
          <w:lang w:val="ru-RU"/>
        </w:rPr>
        <w:t xml:space="preserve">следует предугадывать последствия риска. </w:t>
      </w:r>
    </w:p>
    <w:p w:rsidR="004A1E3A" w:rsidRPr="0092651D" w:rsidRDefault="004A1E3A" w:rsidP="0092651D">
      <w:pPr>
        <w:pStyle w:val="a5"/>
        <w:tabs>
          <w:tab w:val="num" w:pos="-2552"/>
        </w:tabs>
        <w:spacing w:line="360" w:lineRule="auto"/>
        <w:ind w:right="0" w:firstLine="709"/>
        <w:rPr>
          <w:sz w:val="28"/>
        </w:rPr>
      </w:pPr>
      <w:r w:rsidRPr="0092651D">
        <w:rPr>
          <w:sz w:val="28"/>
        </w:rPr>
        <w:t xml:space="preserve">Применение на практике этих принципов означает, что всегда необходимо рассчитать максимально возможный убыток по данному виду риска, потом сопоставить его с объемом капитала предприятия, подвергаемого данному риску, и затем сопоставить весь возможный убыток с общим объемом собственных финансовых ресурсов. И только сделав последний шаг, возможно определить, не приведет ли данный риск к банкротству предприятия. </w:t>
      </w:r>
    </w:p>
    <w:p w:rsidR="004A1E3A" w:rsidRPr="00C543BF" w:rsidRDefault="004A1E3A" w:rsidP="0092651D">
      <w:pPr>
        <w:widowControl w:val="0"/>
        <w:spacing w:line="360" w:lineRule="auto"/>
        <w:ind w:firstLine="709"/>
        <w:jc w:val="both"/>
        <w:rPr>
          <w:snapToGrid w:val="0"/>
          <w:sz w:val="28"/>
          <w:lang w:val="ru-RU"/>
        </w:rPr>
      </w:pPr>
    </w:p>
    <w:p w:rsidR="004A1E3A" w:rsidRPr="0092651D" w:rsidRDefault="0092651D" w:rsidP="0092651D">
      <w:pPr>
        <w:pStyle w:val="1"/>
        <w:keepNext w:val="0"/>
        <w:widowControl w:val="0"/>
        <w:spacing w:line="360" w:lineRule="auto"/>
        <w:ind w:firstLine="709"/>
        <w:jc w:val="both"/>
        <w:rPr>
          <w:bCs/>
          <w:snapToGrid w:val="0"/>
          <w:sz w:val="28"/>
        </w:rPr>
      </w:pPr>
      <w:bookmarkStart w:id="8" w:name="_Toc469772982"/>
      <w:bookmarkStart w:id="9" w:name="_Toc91403571"/>
      <w:r>
        <w:rPr>
          <w:bCs/>
          <w:snapToGrid w:val="0"/>
          <w:sz w:val="28"/>
        </w:rPr>
        <w:br w:type="page"/>
      </w:r>
      <w:r w:rsidR="004A1E3A" w:rsidRPr="0092651D">
        <w:rPr>
          <w:bCs/>
          <w:snapToGrid w:val="0"/>
          <w:sz w:val="28"/>
        </w:rPr>
        <w:t>СПИСОК ИСПОЛЬЗОВАННОЙ ЛИТЕРАТУРЫ</w:t>
      </w:r>
      <w:bookmarkEnd w:id="8"/>
      <w:bookmarkEnd w:id="9"/>
    </w:p>
    <w:p w:rsidR="004A1E3A" w:rsidRPr="0092651D" w:rsidRDefault="004A1E3A" w:rsidP="0092651D">
      <w:pPr>
        <w:widowControl w:val="0"/>
        <w:spacing w:line="360" w:lineRule="auto"/>
        <w:ind w:firstLine="709"/>
        <w:jc w:val="both"/>
        <w:rPr>
          <w:sz w:val="28"/>
          <w:lang w:val="ru-RU"/>
        </w:rPr>
      </w:pPr>
    </w:p>
    <w:p w:rsidR="004A1E3A" w:rsidRPr="0092651D" w:rsidRDefault="004A1E3A" w:rsidP="0092651D">
      <w:pPr>
        <w:widowControl w:val="0"/>
        <w:numPr>
          <w:ilvl w:val="0"/>
          <w:numId w:val="21"/>
        </w:numPr>
        <w:spacing w:line="360" w:lineRule="auto"/>
        <w:ind w:left="0" w:firstLine="0"/>
        <w:jc w:val="both"/>
        <w:rPr>
          <w:sz w:val="28"/>
          <w:lang w:val="ru-RU"/>
        </w:rPr>
      </w:pPr>
      <w:r w:rsidRPr="0092651D">
        <w:rPr>
          <w:sz w:val="28"/>
          <w:lang w:val="ru-RU"/>
        </w:rPr>
        <w:t>Балабанов И.Т. Финансовый менеджмент: Учебник. – Москва. Финансы и статистика, 1994.</w:t>
      </w:r>
    </w:p>
    <w:p w:rsidR="004A1E3A" w:rsidRPr="0092651D" w:rsidRDefault="004A1E3A" w:rsidP="0092651D">
      <w:pPr>
        <w:widowControl w:val="0"/>
        <w:numPr>
          <w:ilvl w:val="0"/>
          <w:numId w:val="21"/>
        </w:numPr>
        <w:spacing w:line="360" w:lineRule="auto"/>
        <w:ind w:left="0" w:firstLine="0"/>
        <w:jc w:val="both"/>
        <w:rPr>
          <w:sz w:val="28"/>
          <w:lang w:val="ru-RU"/>
        </w:rPr>
      </w:pPr>
      <w:r w:rsidRPr="0092651D">
        <w:rPr>
          <w:sz w:val="28"/>
          <w:lang w:val="ru-RU"/>
        </w:rPr>
        <w:t>Финансовый менеджмент: теория и практика: Учебник / под ред. Е.С. Стояновой. – Москва: Перспектива, 1996.</w:t>
      </w:r>
    </w:p>
    <w:p w:rsidR="004A1E3A" w:rsidRPr="0092651D" w:rsidRDefault="004A1E3A" w:rsidP="0092651D">
      <w:pPr>
        <w:widowControl w:val="0"/>
        <w:numPr>
          <w:ilvl w:val="0"/>
          <w:numId w:val="21"/>
        </w:numPr>
        <w:spacing w:line="360" w:lineRule="auto"/>
        <w:ind w:left="0" w:firstLine="0"/>
        <w:jc w:val="both"/>
        <w:rPr>
          <w:sz w:val="28"/>
          <w:lang w:val="ru-RU"/>
        </w:rPr>
      </w:pPr>
      <w:r w:rsidRPr="0092651D">
        <w:rPr>
          <w:sz w:val="28"/>
          <w:lang w:val="ru-RU"/>
        </w:rPr>
        <w:t xml:space="preserve">Лялин В.А., Воробьев П.В. Финансовый менеджмент (управление финансами фирмы). – СПб: Юность, 1994. </w:t>
      </w:r>
    </w:p>
    <w:p w:rsidR="004A1E3A" w:rsidRPr="0092651D" w:rsidRDefault="004A1E3A" w:rsidP="0092651D">
      <w:pPr>
        <w:widowControl w:val="0"/>
        <w:numPr>
          <w:ilvl w:val="0"/>
          <w:numId w:val="21"/>
        </w:numPr>
        <w:spacing w:line="360" w:lineRule="auto"/>
        <w:ind w:left="0" w:firstLine="0"/>
        <w:jc w:val="both"/>
        <w:rPr>
          <w:snapToGrid w:val="0"/>
          <w:sz w:val="28"/>
          <w:lang w:val="ru-RU"/>
        </w:rPr>
      </w:pPr>
      <w:r w:rsidRPr="0092651D">
        <w:rPr>
          <w:sz w:val="28"/>
          <w:lang w:val="ru-RU"/>
        </w:rPr>
        <w:t xml:space="preserve">Дж. К. Ван Хорн. Основы управления финансами – Москва. Финансы и статистика, 1996. </w:t>
      </w:r>
      <w:bookmarkStart w:id="10" w:name="_GoBack"/>
      <w:bookmarkEnd w:id="10"/>
    </w:p>
    <w:sectPr w:rsidR="004A1E3A" w:rsidRPr="0092651D" w:rsidSect="00C543BF">
      <w:foot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51D" w:rsidRDefault="0092651D">
      <w:r>
        <w:separator/>
      </w:r>
    </w:p>
  </w:endnote>
  <w:endnote w:type="continuationSeparator" w:id="0">
    <w:p w:rsidR="0092651D" w:rsidRDefault="00926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E3A" w:rsidRDefault="004A1E3A" w:rsidP="005D67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4A1E3A" w:rsidRDefault="004A1E3A">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51D" w:rsidRDefault="0092651D">
      <w:r>
        <w:separator/>
      </w:r>
    </w:p>
  </w:footnote>
  <w:footnote w:type="continuationSeparator" w:id="0">
    <w:p w:rsidR="0092651D" w:rsidRDefault="009265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29E43EC"/>
    <w:lvl w:ilvl="0">
      <w:start w:val="1"/>
      <w:numFmt w:val="bullet"/>
      <w:lvlText w:val=""/>
      <w:lvlJc w:val="left"/>
      <w:pPr>
        <w:tabs>
          <w:tab w:val="num" w:pos="643"/>
        </w:tabs>
        <w:ind w:left="643" w:hanging="360"/>
      </w:pPr>
      <w:rPr>
        <w:rFonts w:ascii="Symbol" w:hAnsi="Symbol" w:hint="default"/>
      </w:rPr>
    </w:lvl>
  </w:abstractNum>
  <w:abstractNum w:abstractNumId="1">
    <w:nsid w:val="024004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CD91936"/>
    <w:multiLevelType w:val="singleLevel"/>
    <w:tmpl w:val="D51A0354"/>
    <w:lvl w:ilvl="0">
      <w:start w:val="1"/>
      <w:numFmt w:val="decimal"/>
      <w:lvlText w:val="%1)"/>
      <w:lvlJc w:val="left"/>
      <w:pPr>
        <w:tabs>
          <w:tab w:val="num" w:pos="644"/>
        </w:tabs>
        <w:ind w:left="644" w:hanging="360"/>
      </w:pPr>
      <w:rPr>
        <w:rFonts w:cs="Times New Roman" w:hint="default"/>
        <w:color w:val="800000"/>
      </w:rPr>
    </w:lvl>
  </w:abstractNum>
  <w:abstractNum w:abstractNumId="3">
    <w:nsid w:val="2915579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2ED738DC"/>
    <w:multiLevelType w:val="singleLevel"/>
    <w:tmpl w:val="2CAC4016"/>
    <w:lvl w:ilvl="0">
      <w:numFmt w:val="bullet"/>
      <w:lvlText w:val="-"/>
      <w:lvlJc w:val="left"/>
      <w:pPr>
        <w:tabs>
          <w:tab w:val="num" w:pos="927"/>
        </w:tabs>
        <w:ind w:left="927" w:hanging="360"/>
      </w:pPr>
      <w:rPr>
        <w:rFonts w:hint="default"/>
      </w:rPr>
    </w:lvl>
  </w:abstractNum>
  <w:abstractNum w:abstractNumId="5">
    <w:nsid w:val="3B613C76"/>
    <w:multiLevelType w:val="singleLevel"/>
    <w:tmpl w:val="7766EDBC"/>
    <w:lvl w:ilvl="0">
      <w:start w:val="1"/>
      <w:numFmt w:val="decimal"/>
      <w:lvlText w:val="%1)"/>
      <w:lvlJc w:val="left"/>
      <w:pPr>
        <w:tabs>
          <w:tab w:val="num" w:pos="609"/>
        </w:tabs>
        <w:ind w:left="609" w:hanging="360"/>
      </w:pPr>
      <w:rPr>
        <w:rFonts w:cs="Times New Roman" w:hint="default"/>
      </w:rPr>
    </w:lvl>
  </w:abstractNum>
  <w:abstractNum w:abstractNumId="6">
    <w:nsid w:val="402E531C"/>
    <w:multiLevelType w:val="multilevel"/>
    <w:tmpl w:val="C7B030B6"/>
    <w:lvl w:ilvl="0">
      <w:start w:val="1"/>
      <w:numFmt w:val="upperRoman"/>
      <w:lvlText w:val="%1"/>
      <w:lvlJc w:val="left"/>
      <w:pPr>
        <w:tabs>
          <w:tab w:val="num" w:pos="720"/>
        </w:tabs>
        <w:ind w:left="360" w:hanging="360"/>
      </w:pPr>
      <w:rPr>
        <w:rFonts w:ascii="Times New Roman" w:hAnsi="Times New Roman" w:cs="Times New Roman" w:hint="default"/>
        <w:b w:val="0"/>
        <w:i w:val="0"/>
        <w:sz w:val="32"/>
      </w:rPr>
    </w:lvl>
    <w:lvl w:ilvl="1">
      <w:start w:val="1"/>
      <w:numFmt w:val="decimal"/>
      <w:lvlText w:val="%2."/>
      <w:lvlJc w:val="left"/>
      <w:pPr>
        <w:tabs>
          <w:tab w:val="num" w:pos="720"/>
        </w:tabs>
        <w:ind w:left="720" w:hanging="360"/>
      </w:pPr>
      <w:rPr>
        <w:rFonts w:ascii="Times New Roman" w:hAnsi="Times New Roman" w:cs="Times New Roman" w:hint="default"/>
        <w:b w:val="0"/>
        <w:i w:val="0"/>
        <w:sz w:val="28"/>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4316523B"/>
    <w:multiLevelType w:val="singleLevel"/>
    <w:tmpl w:val="7F3CB620"/>
    <w:lvl w:ilvl="0">
      <w:start w:val="1"/>
      <w:numFmt w:val="decimal"/>
      <w:lvlText w:val="%1)"/>
      <w:lvlJc w:val="left"/>
      <w:pPr>
        <w:tabs>
          <w:tab w:val="num" w:pos="623"/>
        </w:tabs>
        <w:ind w:left="623" w:hanging="360"/>
      </w:pPr>
      <w:rPr>
        <w:rFonts w:cs="Times New Roman" w:hint="default"/>
      </w:rPr>
    </w:lvl>
  </w:abstractNum>
  <w:abstractNum w:abstractNumId="8">
    <w:nsid w:val="453E0B64"/>
    <w:multiLevelType w:val="singleLevel"/>
    <w:tmpl w:val="04190011"/>
    <w:lvl w:ilvl="0">
      <w:start w:val="1"/>
      <w:numFmt w:val="decimal"/>
      <w:lvlText w:val="%1)"/>
      <w:lvlJc w:val="left"/>
      <w:pPr>
        <w:tabs>
          <w:tab w:val="num" w:pos="360"/>
        </w:tabs>
        <w:ind w:left="360" w:hanging="360"/>
      </w:pPr>
      <w:rPr>
        <w:rFonts w:cs="Times New Roman"/>
      </w:rPr>
    </w:lvl>
  </w:abstractNum>
  <w:abstractNum w:abstractNumId="9">
    <w:nsid w:val="45D005AF"/>
    <w:multiLevelType w:val="singleLevel"/>
    <w:tmpl w:val="5A468CBC"/>
    <w:lvl w:ilvl="0">
      <w:start w:val="1"/>
      <w:numFmt w:val="decimal"/>
      <w:lvlText w:val="%1)"/>
      <w:lvlJc w:val="left"/>
      <w:pPr>
        <w:tabs>
          <w:tab w:val="num" w:pos="753"/>
        </w:tabs>
        <w:ind w:left="753" w:hanging="360"/>
      </w:pPr>
      <w:rPr>
        <w:rFonts w:cs="Times New Roman" w:hint="default"/>
      </w:rPr>
    </w:lvl>
  </w:abstractNum>
  <w:abstractNum w:abstractNumId="10">
    <w:nsid w:val="49B6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BEA1FD1"/>
    <w:multiLevelType w:val="singleLevel"/>
    <w:tmpl w:val="7F3CB620"/>
    <w:lvl w:ilvl="0">
      <w:start w:val="1"/>
      <w:numFmt w:val="decimal"/>
      <w:lvlText w:val="%1)"/>
      <w:lvlJc w:val="left"/>
      <w:pPr>
        <w:tabs>
          <w:tab w:val="num" w:pos="623"/>
        </w:tabs>
        <w:ind w:left="623" w:hanging="360"/>
      </w:pPr>
      <w:rPr>
        <w:rFonts w:cs="Times New Roman" w:hint="default"/>
      </w:rPr>
    </w:lvl>
  </w:abstractNum>
  <w:abstractNum w:abstractNumId="12">
    <w:nsid w:val="52332F98"/>
    <w:multiLevelType w:val="singleLevel"/>
    <w:tmpl w:val="53905074"/>
    <w:lvl w:ilvl="0">
      <w:start w:val="1"/>
      <w:numFmt w:val="decimal"/>
      <w:lvlText w:val="%1."/>
      <w:lvlJc w:val="left"/>
      <w:pPr>
        <w:tabs>
          <w:tab w:val="num" w:pos="666"/>
        </w:tabs>
        <w:ind w:left="666" w:hanging="360"/>
      </w:pPr>
      <w:rPr>
        <w:rFonts w:cs="Times New Roman" w:hint="default"/>
      </w:rPr>
    </w:lvl>
  </w:abstractNum>
  <w:abstractNum w:abstractNumId="13">
    <w:nsid w:val="5ADB562C"/>
    <w:multiLevelType w:val="singleLevel"/>
    <w:tmpl w:val="414449EC"/>
    <w:lvl w:ilvl="0">
      <w:start w:val="1"/>
      <w:numFmt w:val="decimal"/>
      <w:lvlText w:val="%1."/>
      <w:lvlJc w:val="left"/>
      <w:pPr>
        <w:tabs>
          <w:tab w:val="num" w:pos="801"/>
        </w:tabs>
        <w:ind w:left="801" w:hanging="360"/>
      </w:pPr>
      <w:rPr>
        <w:rFonts w:cs="Times New Roman" w:hint="default"/>
      </w:rPr>
    </w:lvl>
  </w:abstractNum>
  <w:abstractNum w:abstractNumId="14">
    <w:nsid w:val="6343514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64392ADE"/>
    <w:multiLevelType w:val="singleLevel"/>
    <w:tmpl w:val="53905074"/>
    <w:lvl w:ilvl="0">
      <w:start w:val="1"/>
      <w:numFmt w:val="decimal"/>
      <w:lvlText w:val="%1."/>
      <w:lvlJc w:val="left"/>
      <w:pPr>
        <w:tabs>
          <w:tab w:val="num" w:pos="666"/>
        </w:tabs>
        <w:ind w:left="666" w:hanging="360"/>
      </w:pPr>
      <w:rPr>
        <w:rFonts w:cs="Times New Roman" w:hint="default"/>
      </w:rPr>
    </w:lvl>
  </w:abstractNum>
  <w:abstractNum w:abstractNumId="16">
    <w:nsid w:val="6B950E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5E23900"/>
    <w:multiLevelType w:val="singleLevel"/>
    <w:tmpl w:val="D51A0354"/>
    <w:lvl w:ilvl="0">
      <w:start w:val="1"/>
      <w:numFmt w:val="decimal"/>
      <w:lvlText w:val="%1)"/>
      <w:lvlJc w:val="left"/>
      <w:pPr>
        <w:tabs>
          <w:tab w:val="num" w:pos="644"/>
        </w:tabs>
        <w:ind w:left="644" w:hanging="360"/>
      </w:pPr>
      <w:rPr>
        <w:rFonts w:cs="Times New Roman" w:hint="default"/>
        <w:color w:val="800000"/>
      </w:rPr>
    </w:lvl>
  </w:abstractNum>
  <w:abstractNum w:abstractNumId="18">
    <w:nsid w:val="7B1D6A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F384E26"/>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0"/>
  </w:num>
  <w:num w:numId="3">
    <w:abstractNumId w:val="0"/>
  </w:num>
  <w:num w:numId="4">
    <w:abstractNumId w:val="6"/>
  </w:num>
  <w:num w:numId="5">
    <w:abstractNumId w:val="8"/>
  </w:num>
  <w:num w:numId="6">
    <w:abstractNumId w:val="5"/>
  </w:num>
  <w:num w:numId="7">
    <w:abstractNumId w:val="14"/>
  </w:num>
  <w:num w:numId="8">
    <w:abstractNumId w:val="17"/>
  </w:num>
  <w:num w:numId="9">
    <w:abstractNumId w:val="1"/>
  </w:num>
  <w:num w:numId="10">
    <w:abstractNumId w:val="18"/>
  </w:num>
  <w:num w:numId="11">
    <w:abstractNumId w:val="2"/>
  </w:num>
  <w:num w:numId="12">
    <w:abstractNumId w:val="12"/>
  </w:num>
  <w:num w:numId="13">
    <w:abstractNumId w:val="15"/>
  </w:num>
  <w:num w:numId="14">
    <w:abstractNumId w:val="11"/>
  </w:num>
  <w:num w:numId="15">
    <w:abstractNumId w:val="13"/>
  </w:num>
  <w:num w:numId="16">
    <w:abstractNumId w:val="7"/>
  </w:num>
  <w:num w:numId="17">
    <w:abstractNumId w:val="16"/>
  </w:num>
  <w:num w:numId="18">
    <w:abstractNumId w:val="9"/>
  </w:num>
  <w:num w:numId="19">
    <w:abstractNumId w:val="10"/>
  </w:num>
  <w:num w:numId="20">
    <w:abstractNumId w:val="3"/>
  </w:num>
  <w:num w:numId="21">
    <w:abstractNumId w:val="1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savePreviewPicture/>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087"/>
    <w:rsid w:val="004A1E3A"/>
    <w:rsid w:val="005D670A"/>
    <w:rsid w:val="006623D9"/>
    <w:rsid w:val="007B621F"/>
    <w:rsid w:val="0092651D"/>
    <w:rsid w:val="0095310A"/>
    <w:rsid w:val="00AA6087"/>
    <w:rsid w:val="00C543BF"/>
    <w:rsid w:val="00D05C04"/>
    <w:rsid w:val="00D80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944AD59-BE60-431D-9993-F14C2ACC2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rPr>
  </w:style>
  <w:style w:type="paragraph" w:styleId="1">
    <w:name w:val="heading 1"/>
    <w:basedOn w:val="a"/>
    <w:next w:val="a"/>
    <w:link w:val="10"/>
    <w:uiPriority w:val="9"/>
    <w:qFormat/>
    <w:pPr>
      <w:keepNext/>
      <w:outlineLvl w:val="0"/>
    </w:pPr>
    <w:rPr>
      <w:sz w:val="32"/>
      <w:szCs w:val="20"/>
      <w:lang w:val="ru-RU"/>
    </w:rPr>
  </w:style>
  <w:style w:type="paragraph" w:styleId="2">
    <w:name w:val="heading 2"/>
    <w:basedOn w:val="a"/>
    <w:next w:val="a"/>
    <w:link w:val="20"/>
    <w:uiPriority w:val="9"/>
    <w:qFormat/>
    <w:pPr>
      <w:keepNext/>
      <w:spacing w:before="240" w:after="60"/>
      <w:outlineLvl w:val="1"/>
    </w:pPr>
    <w:rPr>
      <w:rFonts w:ascii="Arial" w:hAnsi="Arial"/>
      <w:b/>
      <w:i/>
      <w:szCs w:val="20"/>
      <w:lang w:val="ru-RU"/>
    </w:rPr>
  </w:style>
  <w:style w:type="paragraph" w:styleId="3">
    <w:name w:val="heading 3"/>
    <w:basedOn w:val="a"/>
    <w:next w:val="a"/>
    <w:link w:val="30"/>
    <w:uiPriority w:val="9"/>
    <w:qFormat/>
    <w:pPr>
      <w:keepNext/>
      <w:jc w:val="center"/>
      <w:outlineLvl w:val="2"/>
    </w:pPr>
    <w:rPr>
      <w:b/>
      <w:bCs/>
      <w:sz w:val="48"/>
      <w:lang w:val="ru-RU"/>
    </w:rPr>
  </w:style>
  <w:style w:type="paragraph" w:styleId="4">
    <w:name w:val="heading 4"/>
    <w:basedOn w:val="a"/>
    <w:next w:val="a"/>
    <w:link w:val="40"/>
    <w:uiPriority w:val="9"/>
    <w:qFormat/>
    <w:pPr>
      <w:keepNext/>
      <w:widowControl w:val="0"/>
      <w:spacing w:line="240" w:lineRule="atLeast"/>
      <w:ind w:left="48" w:right="4" w:firstLine="236"/>
      <w:jc w:val="both"/>
      <w:outlineLvl w:val="3"/>
    </w:pPr>
    <w:rPr>
      <w:b/>
      <w:bCs/>
      <w:sz w:val="32"/>
      <w:lang w:val="ru-RU"/>
    </w:rPr>
  </w:style>
  <w:style w:type="paragraph" w:styleId="5">
    <w:name w:val="heading 5"/>
    <w:basedOn w:val="a"/>
    <w:next w:val="a"/>
    <w:link w:val="50"/>
    <w:uiPriority w:val="9"/>
    <w:qFormat/>
    <w:pPr>
      <w:keepNext/>
      <w:widowControl w:val="0"/>
      <w:spacing w:line="360" w:lineRule="auto"/>
      <w:ind w:left="19" w:right="52" w:firstLine="265"/>
      <w:jc w:val="center"/>
      <w:outlineLvl w:val="4"/>
    </w:pPr>
    <w:rPr>
      <w:b/>
      <w:bCs/>
      <w:i/>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en-US" w:eastAsia="x-none"/>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en-US" w:eastAsia="x-none"/>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en-US" w:eastAsia="x-none"/>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lang w:val="en-US" w:eastAsia="x-none"/>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lang w:val="en-US" w:eastAsia="x-none"/>
    </w:rPr>
  </w:style>
  <w:style w:type="paragraph" w:styleId="21">
    <w:name w:val="Body Text Indent 2"/>
    <w:basedOn w:val="a"/>
    <w:link w:val="22"/>
    <w:uiPriority w:val="99"/>
    <w:pPr>
      <w:widowControl w:val="0"/>
      <w:spacing w:line="240" w:lineRule="atLeast"/>
      <w:ind w:firstLine="284"/>
      <w:jc w:val="both"/>
    </w:pPr>
    <w:rPr>
      <w:sz w:val="28"/>
      <w:lang w:val="ru-RU"/>
    </w:rPr>
  </w:style>
  <w:style w:type="paragraph" w:styleId="11">
    <w:name w:val="toc 1"/>
    <w:basedOn w:val="a"/>
    <w:next w:val="a"/>
    <w:autoRedefine/>
    <w:uiPriority w:val="39"/>
    <w:semiHidden/>
    <w:rsid w:val="005D670A"/>
    <w:pPr>
      <w:tabs>
        <w:tab w:val="right" w:leader="dot" w:pos="9426"/>
      </w:tabs>
      <w:spacing w:before="120"/>
    </w:pPr>
    <w:rPr>
      <w:b/>
      <w:bCs/>
      <w:noProof/>
      <w:szCs w:val="20"/>
      <w:lang w:val="ru-RU"/>
    </w:rPr>
  </w:style>
  <w:style w:type="character" w:customStyle="1" w:styleId="22">
    <w:name w:val="Основний текст з відступом 2 Знак"/>
    <w:basedOn w:val="a0"/>
    <w:link w:val="21"/>
    <w:uiPriority w:val="99"/>
    <w:semiHidden/>
    <w:locked/>
    <w:rPr>
      <w:rFonts w:cs="Times New Roman"/>
      <w:sz w:val="24"/>
      <w:szCs w:val="24"/>
      <w:lang w:val="en-US" w:eastAsia="x-none"/>
    </w:rPr>
  </w:style>
  <w:style w:type="paragraph" w:styleId="23">
    <w:name w:val="toc 2"/>
    <w:basedOn w:val="a"/>
    <w:next w:val="a"/>
    <w:autoRedefine/>
    <w:uiPriority w:val="39"/>
    <w:semiHidden/>
    <w:pPr>
      <w:spacing w:before="120"/>
      <w:ind w:left="200"/>
    </w:pPr>
    <w:rPr>
      <w:b/>
      <w:sz w:val="22"/>
      <w:szCs w:val="20"/>
      <w:lang w:val="ru-RU"/>
    </w:rPr>
  </w:style>
  <w:style w:type="paragraph" w:styleId="24">
    <w:name w:val="List Bullet 2"/>
    <w:basedOn w:val="a"/>
    <w:autoRedefine/>
    <w:uiPriority w:val="99"/>
    <w:pPr>
      <w:ind w:firstLine="284"/>
    </w:pPr>
    <w:rPr>
      <w:b/>
      <w:sz w:val="30"/>
      <w:szCs w:val="20"/>
      <w:lang w:val="ru-RU"/>
    </w:rPr>
  </w:style>
  <w:style w:type="paragraph" w:styleId="a3">
    <w:name w:val="Block Text"/>
    <w:basedOn w:val="a"/>
    <w:uiPriority w:val="99"/>
    <w:pPr>
      <w:widowControl w:val="0"/>
      <w:spacing w:line="240" w:lineRule="atLeast"/>
      <w:ind w:left="11" w:right="4" w:firstLine="272"/>
      <w:jc w:val="both"/>
    </w:pPr>
    <w:rPr>
      <w:szCs w:val="20"/>
      <w:lang w:val="ru-RU"/>
    </w:rPr>
  </w:style>
  <w:style w:type="character" w:styleId="a4">
    <w:name w:val="footnote reference"/>
    <w:basedOn w:val="a0"/>
    <w:uiPriority w:val="99"/>
    <w:semiHidden/>
    <w:rPr>
      <w:rFonts w:cs="Times New Roman"/>
      <w:vertAlign w:val="superscript"/>
    </w:rPr>
  </w:style>
  <w:style w:type="paragraph" w:styleId="a5">
    <w:name w:val="Body Text Indent"/>
    <w:basedOn w:val="a"/>
    <w:link w:val="a6"/>
    <w:uiPriority w:val="99"/>
    <w:pPr>
      <w:widowControl w:val="0"/>
      <w:spacing w:line="240" w:lineRule="atLeast"/>
      <w:ind w:right="-52" w:firstLine="284"/>
      <w:jc w:val="both"/>
    </w:pPr>
    <w:rPr>
      <w:szCs w:val="20"/>
      <w:lang w:val="ru-RU"/>
    </w:rPr>
  </w:style>
  <w:style w:type="paragraph" w:styleId="a7">
    <w:name w:val="footnote text"/>
    <w:basedOn w:val="a"/>
    <w:link w:val="a8"/>
    <w:uiPriority w:val="99"/>
    <w:semiHidden/>
    <w:rPr>
      <w:sz w:val="20"/>
      <w:szCs w:val="20"/>
      <w:lang w:val="ru-RU"/>
    </w:rPr>
  </w:style>
  <w:style w:type="character" w:customStyle="1" w:styleId="a6">
    <w:name w:val="Основний текст з відступом Знак"/>
    <w:basedOn w:val="a0"/>
    <w:link w:val="a5"/>
    <w:uiPriority w:val="99"/>
    <w:semiHidden/>
    <w:locked/>
    <w:rPr>
      <w:rFonts w:cs="Times New Roman"/>
      <w:sz w:val="24"/>
      <w:szCs w:val="24"/>
      <w:lang w:val="en-US" w:eastAsia="x-none"/>
    </w:rPr>
  </w:style>
  <w:style w:type="paragraph" w:styleId="a9">
    <w:name w:val="caption"/>
    <w:basedOn w:val="a"/>
    <w:next w:val="a"/>
    <w:uiPriority w:val="35"/>
    <w:qFormat/>
    <w:pPr>
      <w:spacing w:before="120" w:after="120"/>
    </w:pPr>
    <w:rPr>
      <w:b/>
      <w:sz w:val="20"/>
      <w:szCs w:val="20"/>
      <w:lang w:val="ru-RU"/>
    </w:rPr>
  </w:style>
  <w:style w:type="character" w:customStyle="1" w:styleId="a8">
    <w:name w:val="Текст виноски Знак"/>
    <w:basedOn w:val="a0"/>
    <w:link w:val="a7"/>
    <w:uiPriority w:val="99"/>
    <w:semiHidden/>
    <w:locked/>
    <w:rPr>
      <w:rFonts w:cs="Times New Roman"/>
      <w:lang w:val="en-US" w:eastAsia="x-none"/>
    </w:rPr>
  </w:style>
  <w:style w:type="paragraph" w:styleId="aa">
    <w:name w:val="Body Text"/>
    <w:basedOn w:val="a"/>
    <w:link w:val="ab"/>
    <w:uiPriority w:val="99"/>
    <w:pPr>
      <w:jc w:val="center"/>
    </w:pPr>
    <w:rPr>
      <w:b/>
      <w:bCs/>
      <w:sz w:val="56"/>
      <w:lang w:val="ru-RU"/>
    </w:rPr>
  </w:style>
  <w:style w:type="paragraph" w:styleId="ac">
    <w:name w:val="footer"/>
    <w:basedOn w:val="a"/>
    <w:link w:val="ad"/>
    <w:uiPriority w:val="99"/>
    <w:pPr>
      <w:tabs>
        <w:tab w:val="center" w:pos="4677"/>
        <w:tab w:val="right" w:pos="9355"/>
      </w:tabs>
    </w:pPr>
  </w:style>
  <w:style w:type="character" w:customStyle="1" w:styleId="ab">
    <w:name w:val="Основний текст Знак"/>
    <w:basedOn w:val="a0"/>
    <w:link w:val="aa"/>
    <w:uiPriority w:val="99"/>
    <w:semiHidden/>
    <w:locked/>
    <w:rPr>
      <w:rFonts w:cs="Times New Roman"/>
      <w:sz w:val="24"/>
      <w:szCs w:val="24"/>
      <w:lang w:val="en-US" w:eastAsia="x-none"/>
    </w:rPr>
  </w:style>
  <w:style w:type="character" w:styleId="ae">
    <w:name w:val="page number"/>
    <w:basedOn w:val="a0"/>
    <w:uiPriority w:val="99"/>
    <w:rPr>
      <w:rFonts w:cs="Times New Roman"/>
    </w:rPr>
  </w:style>
  <w:style w:type="character" w:customStyle="1" w:styleId="ad">
    <w:name w:val="Нижній колонтитул Знак"/>
    <w:basedOn w:val="a0"/>
    <w:link w:val="ac"/>
    <w:uiPriority w:val="99"/>
    <w:semiHidden/>
    <w:locked/>
    <w:rPr>
      <w:rFonts w:cs="Times New Roman"/>
      <w:sz w:val="24"/>
      <w:szCs w:val="24"/>
      <w:lang w:val="en-US" w:eastAsia="x-none"/>
    </w:rPr>
  </w:style>
  <w:style w:type="paragraph" w:styleId="af">
    <w:name w:val="header"/>
    <w:basedOn w:val="a"/>
    <w:link w:val="af0"/>
    <w:uiPriority w:val="99"/>
    <w:rsid w:val="007B621F"/>
    <w:pPr>
      <w:tabs>
        <w:tab w:val="center" w:pos="4677"/>
        <w:tab w:val="right" w:pos="9355"/>
      </w:tabs>
    </w:pPr>
  </w:style>
  <w:style w:type="character" w:styleId="af1">
    <w:name w:val="Hyperlink"/>
    <w:basedOn w:val="a0"/>
    <w:uiPriority w:val="99"/>
    <w:rsid w:val="007B621F"/>
    <w:rPr>
      <w:rFonts w:cs="Times New Roman"/>
      <w:color w:val="0000FF"/>
      <w:u w:val="single"/>
    </w:rPr>
  </w:style>
  <w:style w:type="character" w:customStyle="1" w:styleId="af0">
    <w:name w:val="Верхній колонтитул Знак"/>
    <w:basedOn w:val="a0"/>
    <w:link w:val="af"/>
    <w:uiPriority w:val="99"/>
    <w:semiHidden/>
    <w:locked/>
    <w:rPr>
      <w:rFonts w:cs="Times New Roman"/>
      <w:sz w:val="24"/>
      <w:szCs w:val="24"/>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1889</Words>
  <Characters>10771</Characters>
  <Application>Microsoft Office Word</Application>
  <DocSecurity>0</DocSecurity>
  <Lines>89</Lines>
  <Paragraphs>25</Paragraphs>
  <ScaleCrop>false</ScaleCrop>
  <Company>MOBIASBANCA</Company>
  <LinksUpToDate>false</LinksUpToDate>
  <CharactersWithSpaces>12635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Молдова</dc:title>
  <dc:subject/>
  <dc:creator>VIORICA</dc:creator>
  <cp:keywords/>
  <dc:description/>
  <cp:lastModifiedBy>Irina</cp:lastModifiedBy>
  <cp:revision>2</cp:revision>
  <cp:lastPrinted>2004-12-21T12:48:00Z</cp:lastPrinted>
  <dcterms:created xsi:type="dcterms:W3CDTF">2014-11-13T14:04:00Z</dcterms:created>
  <dcterms:modified xsi:type="dcterms:W3CDTF">2014-11-13T14:04:00Z</dcterms:modified>
</cp:coreProperties>
</file>