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059" w:rsidRDefault="00423059">
      <w:pPr>
        <w:pStyle w:val="10"/>
        <w:tabs>
          <w:tab w:val="right" w:leader="dot" w:pos="9345"/>
        </w:tabs>
        <w:rPr>
          <w:rStyle w:val="a4"/>
          <w:lang w:val="en-US"/>
        </w:rPr>
      </w:pPr>
    </w:p>
    <w:p w:rsidR="00BF0B94" w:rsidRDefault="00AD069C">
      <w:pPr>
        <w:pStyle w:val="10"/>
        <w:tabs>
          <w:tab w:val="right" w:leader="dot" w:pos="9345"/>
        </w:tabs>
        <w:rPr>
          <w:noProof/>
        </w:rPr>
      </w:pPr>
      <w:r w:rsidRPr="00BF0B94">
        <w:rPr>
          <w:rStyle w:val="a4"/>
          <w:lang w:val="en-US"/>
        </w:rPr>
        <w:fldChar w:fldCharType="begin"/>
      </w:r>
      <w:r w:rsidRPr="00BF0B94">
        <w:rPr>
          <w:rStyle w:val="a4"/>
          <w:lang w:val="en-US"/>
        </w:rPr>
        <w:instrText xml:space="preserve"> TOC \o "1-3" \h \z \u </w:instrText>
      </w:r>
      <w:r w:rsidRPr="00BF0B94">
        <w:rPr>
          <w:rStyle w:val="a4"/>
          <w:lang w:val="en-US"/>
        </w:rPr>
        <w:fldChar w:fldCharType="separate"/>
      </w:r>
      <w:hyperlink w:anchor="_Toc190921655" w:history="1">
        <w:r w:rsidR="00BF0B94" w:rsidRPr="00A2028A">
          <w:rPr>
            <w:rStyle w:val="a7"/>
            <w:b/>
            <w:i/>
            <w:noProof/>
          </w:rPr>
          <w:t>Общая характеристика вторичного рынка</w:t>
        </w:r>
        <w:r w:rsidR="00BF0B94">
          <w:rPr>
            <w:noProof/>
            <w:webHidden/>
          </w:rPr>
          <w:tab/>
        </w:r>
        <w:r w:rsidR="00BF0B94">
          <w:rPr>
            <w:noProof/>
            <w:webHidden/>
          </w:rPr>
          <w:fldChar w:fldCharType="begin"/>
        </w:r>
        <w:r w:rsidR="00BF0B94">
          <w:rPr>
            <w:noProof/>
            <w:webHidden/>
          </w:rPr>
          <w:instrText xml:space="preserve"> PAGEREF _Toc190921655 \h </w:instrText>
        </w:r>
        <w:r w:rsidR="00BF0B94">
          <w:rPr>
            <w:noProof/>
            <w:webHidden/>
          </w:rPr>
        </w:r>
        <w:r w:rsidR="00BF0B94">
          <w:rPr>
            <w:noProof/>
            <w:webHidden/>
          </w:rPr>
          <w:fldChar w:fldCharType="separate"/>
        </w:r>
        <w:r w:rsidR="00BF0B94">
          <w:rPr>
            <w:noProof/>
            <w:webHidden/>
          </w:rPr>
          <w:t>2</w:t>
        </w:r>
        <w:r w:rsidR="00BF0B94">
          <w:rPr>
            <w:noProof/>
            <w:webHidden/>
          </w:rPr>
          <w:fldChar w:fldCharType="end"/>
        </w:r>
      </w:hyperlink>
    </w:p>
    <w:p w:rsidR="00BF0B94" w:rsidRDefault="00C276A4">
      <w:pPr>
        <w:pStyle w:val="10"/>
        <w:tabs>
          <w:tab w:val="right" w:leader="dot" w:pos="9345"/>
        </w:tabs>
        <w:rPr>
          <w:noProof/>
        </w:rPr>
      </w:pPr>
      <w:hyperlink w:anchor="_Toc190921656" w:history="1">
        <w:r w:rsidR="00BF0B94" w:rsidRPr="00A2028A">
          <w:rPr>
            <w:rStyle w:val="a7"/>
            <w:b/>
            <w:bCs/>
            <w:i/>
            <w:noProof/>
          </w:rPr>
          <w:t>Развитие законодательства РФ в области РЦБ.</w:t>
        </w:r>
        <w:r w:rsidR="00BF0B94">
          <w:rPr>
            <w:noProof/>
            <w:webHidden/>
          </w:rPr>
          <w:tab/>
        </w:r>
        <w:r w:rsidR="00BF0B94">
          <w:rPr>
            <w:noProof/>
            <w:webHidden/>
          </w:rPr>
          <w:fldChar w:fldCharType="begin"/>
        </w:r>
        <w:r w:rsidR="00BF0B94">
          <w:rPr>
            <w:noProof/>
            <w:webHidden/>
          </w:rPr>
          <w:instrText xml:space="preserve"> PAGEREF _Toc190921656 \h </w:instrText>
        </w:r>
        <w:r w:rsidR="00BF0B94">
          <w:rPr>
            <w:noProof/>
            <w:webHidden/>
          </w:rPr>
        </w:r>
        <w:r w:rsidR="00BF0B94">
          <w:rPr>
            <w:noProof/>
            <w:webHidden/>
          </w:rPr>
          <w:fldChar w:fldCharType="separate"/>
        </w:r>
        <w:r w:rsidR="00BF0B94">
          <w:rPr>
            <w:noProof/>
            <w:webHidden/>
          </w:rPr>
          <w:t>5</w:t>
        </w:r>
        <w:r w:rsidR="00BF0B94">
          <w:rPr>
            <w:noProof/>
            <w:webHidden/>
          </w:rPr>
          <w:fldChar w:fldCharType="end"/>
        </w:r>
      </w:hyperlink>
    </w:p>
    <w:p w:rsidR="00BF0B94" w:rsidRDefault="00C276A4">
      <w:pPr>
        <w:pStyle w:val="10"/>
        <w:tabs>
          <w:tab w:val="right" w:leader="dot" w:pos="9345"/>
        </w:tabs>
        <w:rPr>
          <w:noProof/>
        </w:rPr>
      </w:pPr>
      <w:hyperlink w:anchor="_Toc190921657" w:history="1">
        <w:r w:rsidR="00BF0B94" w:rsidRPr="00A2028A">
          <w:rPr>
            <w:rStyle w:val="a7"/>
            <w:i/>
            <w:noProof/>
          </w:rPr>
          <w:t>Современная ситуация</w:t>
        </w:r>
        <w:r w:rsidR="00BF0B94">
          <w:rPr>
            <w:noProof/>
            <w:webHidden/>
          </w:rPr>
          <w:tab/>
        </w:r>
        <w:r w:rsidR="00BF0B94">
          <w:rPr>
            <w:noProof/>
            <w:webHidden/>
          </w:rPr>
          <w:fldChar w:fldCharType="begin"/>
        </w:r>
        <w:r w:rsidR="00BF0B94">
          <w:rPr>
            <w:noProof/>
            <w:webHidden/>
          </w:rPr>
          <w:instrText xml:space="preserve"> PAGEREF _Toc190921657 \h </w:instrText>
        </w:r>
        <w:r w:rsidR="00BF0B94">
          <w:rPr>
            <w:noProof/>
            <w:webHidden/>
          </w:rPr>
        </w:r>
        <w:r w:rsidR="00BF0B94">
          <w:rPr>
            <w:noProof/>
            <w:webHidden/>
          </w:rPr>
          <w:fldChar w:fldCharType="separate"/>
        </w:r>
        <w:r w:rsidR="00BF0B94">
          <w:rPr>
            <w:noProof/>
            <w:webHidden/>
          </w:rPr>
          <w:t>7</w:t>
        </w:r>
        <w:r w:rsidR="00BF0B94">
          <w:rPr>
            <w:noProof/>
            <w:webHidden/>
          </w:rPr>
          <w:fldChar w:fldCharType="end"/>
        </w:r>
      </w:hyperlink>
    </w:p>
    <w:p w:rsidR="00BF0B94" w:rsidRDefault="00C276A4">
      <w:pPr>
        <w:pStyle w:val="10"/>
        <w:tabs>
          <w:tab w:val="right" w:leader="dot" w:pos="9345"/>
        </w:tabs>
        <w:rPr>
          <w:noProof/>
        </w:rPr>
      </w:pPr>
      <w:hyperlink w:anchor="_Toc190921658" w:history="1">
        <w:r w:rsidR="00BF0B94" w:rsidRPr="00A2028A">
          <w:rPr>
            <w:rStyle w:val="a7"/>
            <w:i/>
            <w:noProof/>
          </w:rPr>
          <w:t>Проблемы и перспективы развития РЦБ в России</w:t>
        </w:r>
        <w:r w:rsidR="00BF0B94">
          <w:rPr>
            <w:noProof/>
            <w:webHidden/>
          </w:rPr>
          <w:tab/>
        </w:r>
        <w:r w:rsidR="00BF0B94">
          <w:rPr>
            <w:noProof/>
            <w:webHidden/>
          </w:rPr>
          <w:fldChar w:fldCharType="begin"/>
        </w:r>
        <w:r w:rsidR="00BF0B94">
          <w:rPr>
            <w:noProof/>
            <w:webHidden/>
          </w:rPr>
          <w:instrText xml:space="preserve"> PAGEREF _Toc190921658 \h </w:instrText>
        </w:r>
        <w:r w:rsidR="00BF0B94">
          <w:rPr>
            <w:noProof/>
            <w:webHidden/>
          </w:rPr>
        </w:r>
        <w:r w:rsidR="00BF0B94">
          <w:rPr>
            <w:noProof/>
            <w:webHidden/>
          </w:rPr>
          <w:fldChar w:fldCharType="separate"/>
        </w:r>
        <w:r w:rsidR="00BF0B94">
          <w:rPr>
            <w:noProof/>
            <w:webHidden/>
          </w:rPr>
          <w:t>9</w:t>
        </w:r>
        <w:r w:rsidR="00BF0B94">
          <w:rPr>
            <w:noProof/>
            <w:webHidden/>
          </w:rPr>
          <w:fldChar w:fldCharType="end"/>
        </w:r>
      </w:hyperlink>
    </w:p>
    <w:p w:rsidR="00BF0B94" w:rsidRDefault="00C276A4">
      <w:pPr>
        <w:pStyle w:val="10"/>
        <w:tabs>
          <w:tab w:val="right" w:leader="dot" w:pos="9345"/>
        </w:tabs>
        <w:rPr>
          <w:noProof/>
        </w:rPr>
      </w:pPr>
      <w:hyperlink w:anchor="_Toc190921659" w:history="1">
        <w:r w:rsidR="00BF0B94" w:rsidRPr="00A2028A">
          <w:rPr>
            <w:rStyle w:val="a7"/>
            <w:b/>
            <w:i/>
            <w:noProof/>
          </w:rPr>
          <w:t>Траст и клиринг как перспективные операции вторичного рынка</w:t>
        </w:r>
        <w:r w:rsidR="00BF0B94">
          <w:rPr>
            <w:noProof/>
            <w:webHidden/>
          </w:rPr>
          <w:tab/>
        </w:r>
        <w:r w:rsidR="00BF0B94">
          <w:rPr>
            <w:noProof/>
            <w:webHidden/>
          </w:rPr>
          <w:fldChar w:fldCharType="begin"/>
        </w:r>
        <w:r w:rsidR="00BF0B94">
          <w:rPr>
            <w:noProof/>
            <w:webHidden/>
          </w:rPr>
          <w:instrText xml:space="preserve"> PAGEREF _Toc190921659 \h </w:instrText>
        </w:r>
        <w:r w:rsidR="00BF0B94">
          <w:rPr>
            <w:noProof/>
            <w:webHidden/>
          </w:rPr>
        </w:r>
        <w:r w:rsidR="00BF0B94">
          <w:rPr>
            <w:noProof/>
            <w:webHidden/>
          </w:rPr>
          <w:fldChar w:fldCharType="separate"/>
        </w:r>
        <w:r w:rsidR="00BF0B94">
          <w:rPr>
            <w:noProof/>
            <w:webHidden/>
          </w:rPr>
          <w:t>12</w:t>
        </w:r>
        <w:r w:rsidR="00BF0B94">
          <w:rPr>
            <w:noProof/>
            <w:webHidden/>
          </w:rPr>
          <w:fldChar w:fldCharType="end"/>
        </w:r>
      </w:hyperlink>
    </w:p>
    <w:p w:rsidR="00AD069C" w:rsidRPr="00BF0B94" w:rsidRDefault="00AD069C" w:rsidP="00BF0B94">
      <w:pPr>
        <w:pStyle w:val="a3"/>
        <w:jc w:val="both"/>
        <w:outlineLvl w:val="0"/>
        <w:rPr>
          <w:rStyle w:val="a4"/>
          <w:lang w:val="en-US"/>
        </w:rPr>
        <w:sectPr w:rsidR="00AD069C" w:rsidRPr="00BF0B94">
          <w:footerReference w:type="even" r:id="rId7"/>
          <w:footerReference w:type="default" r:id="rId8"/>
          <w:pgSz w:w="11906" w:h="16838"/>
          <w:pgMar w:top="1134" w:right="850" w:bottom="1134" w:left="1701" w:header="708" w:footer="708" w:gutter="0"/>
          <w:cols w:space="708"/>
          <w:docGrid w:linePitch="360"/>
        </w:sectPr>
      </w:pPr>
      <w:r w:rsidRPr="00BF0B94">
        <w:rPr>
          <w:rStyle w:val="a4"/>
          <w:lang w:val="en-US"/>
        </w:rPr>
        <w:fldChar w:fldCharType="end"/>
      </w:r>
    </w:p>
    <w:p w:rsidR="00AD069C" w:rsidRPr="00BF0B94" w:rsidRDefault="00AD069C" w:rsidP="00BF0B94">
      <w:pPr>
        <w:pStyle w:val="a3"/>
        <w:jc w:val="both"/>
        <w:outlineLvl w:val="0"/>
        <w:rPr>
          <w:rStyle w:val="a4"/>
          <w:b w:val="0"/>
          <w:i/>
          <w:lang w:val="en-US"/>
        </w:rPr>
      </w:pPr>
      <w:r w:rsidRPr="00BF0B94">
        <w:t xml:space="preserve"> </w:t>
      </w:r>
      <w:bookmarkStart w:id="0" w:name="_Toc190921655"/>
      <w:r w:rsidRPr="00BF0B94">
        <w:rPr>
          <w:b/>
          <w:i/>
        </w:rPr>
        <w:t>Общая характеристика вторичного рынка</w:t>
      </w:r>
      <w:bookmarkEnd w:id="0"/>
    </w:p>
    <w:p w:rsidR="004153E3" w:rsidRPr="00BF0B94" w:rsidRDefault="004153E3" w:rsidP="00BF0B94">
      <w:pPr>
        <w:pStyle w:val="a3"/>
        <w:jc w:val="both"/>
      </w:pPr>
      <w:r w:rsidRPr="00BF0B94">
        <w:rPr>
          <w:rStyle w:val="a4"/>
        </w:rPr>
        <w:t>Вторичный рынок ценных бумаг</w:t>
      </w:r>
      <w:r w:rsidRPr="00BF0B94">
        <w:t> – рынок, на котором осуществляется обращение ценных бумаг в форме перепродажи ранее выпущенных и в других формах. Основными участниками рынка являются не эмитенты и инвесторы, а спекулянты, преследующие цель получения прибыли в виде курсовой разницы. Содержание их деятельности сводится к постоянной купле-продаже ценных бумаг. Купить подешевле и продать подороже – основной мотив их деятельности.</w:t>
      </w:r>
    </w:p>
    <w:p w:rsidR="004153E3" w:rsidRPr="00BF0B94" w:rsidRDefault="004153E3" w:rsidP="00BF0B94">
      <w:pPr>
        <w:pStyle w:val="a3"/>
        <w:jc w:val="both"/>
      </w:pPr>
      <w:r w:rsidRPr="00BF0B94">
        <w:t>Вторичный рынок обязательно несет элемент спекуляции. Поскольку цель деятельности на нем – доход в виде курсовой разницы, а курсовая стоимость формируется под воздействием спроса и предложения, постольку существует множество способов воздействия на курс ценных бумаг в желаемом направлении. В результате на вторичном рынке происходит постоянное перераспределение собственности, которое всегда имеет одно направление – от мелких собственников к крупным.</w:t>
      </w:r>
    </w:p>
    <w:p w:rsidR="004153E3" w:rsidRPr="00BF0B94" w:rsidRDefault="004153E3" w:rsidP="00BF0B94">
      <w:pPr>
        <w:pStyle w:val="a3"/>
        <w:jc w:val="both"/>
      </w:pPr>
      <w:r w:rsidRPr="00BF0B94">
        <w:t>Миграция капитала осуществляется в виде перелива его к местам необходимого приложения и оттока капитала из тех отраслей, предприятий, где имеется его излишек. Механизм такого движения сводится к следующему: растет спрос на определенные товары, услуги, возрастают их цены, растут прибыли от их производства и в эти отрасли устремляются капиталы, высвобождающиеся из тех отраслей производства, на продукцию которых спрос сокращается и которые становятся менее прибыльными.</w:t>
      </w:r>
    </w:p>
    <w:p w:rsidR="004153E3" w:rsidRPr="00BF0B94" w:rsidRDefault="004153E3" w:rsidP="00BF0B94">
      <w:pPr>
        <w:pStyle w:val="a3"/>
        <w:jc w:val="both"/>
      </w:pPr>
      <w:r w:rsidRPr="00BF0B94">
        <w:t>Таким образом, вторичный рынок в отличие от первичного не влияет на размеры инвестиций и накоплений в стране. Он обеспечивает лишь постоянное перераспределение уже аккумулированных через первичный рынок денежных средств между различными субъектами хозяйственной жизни. Поскольку цель биржевых спекулянтов – получение максимального дохода в виде курсовой разницы, то они продают ценные бумаги предприятий, исчерпавших свои возможности роста прибыли, и покупают ценные бумаги перспективных предприятий и отраслей хозяйства.</w:t>
      </w:r>
    </w:p>
    <w:p w:rsidR="004153E3" w:rsidRPr="00BF0B94" w:rsidRDefault="004153E3" w:rsidP="00BF0B94">
      <w:pPr>
        <w:pStyle w:val="a3"/>
        <w:jc w:val="both"/>
      </w:pPr>
      <w:r w:rsidRPr="00BF0B94">
        <w:t>В итоге функционирование вторичного рынка обеспечивает постоянную структурную перестройку экономики в целях повышения ее рыночной эффективности и является столь же необходимым для существования рынка ценных бумаг, как и первичный рынок.</w:t>
      </w:r>
    </w:p>
    <w:p w:rsidR="004153E3" w:rsidRPr="00BF0B94" w:rsidRDefault="004153E3" w:rsidP="00BF0B94">
      <w:pPr>
        <w:pStyle w:val="a3"/>
        <w:jc w:val="both"/>
      </w:pPr>
      <w:r w:rsidRPr="00BF0B94">
        <w:t>Однако роль вторичного рынка этим не ограничивается. Вторичный рынок обеспечивает ликвидность ценных бумаг, возможность их реализации по приемлемому курсу и тем самым создает благоприятные условия для их первичного размещения. Возможность в любой момент превратить ценные бумаги в форму наличных денег представляет собой обязательное условие инвестирования средств в ценные бумаги, ибо источник инвестируемого ссудного капитала – временно свободные денежные капиталы и средства, которые могут быть использованы только в соответствии с основными принципами кредита.</w:t>
      </w:r>
    </w:p>
    <w:p w:rsidR="004153E3" w:rsidRPr="00BF0B94" w:rsidRDefault="004153E3" w:rsidP="00BF0B94">
      <w:pPr>
        <w:pStyle w:val="a3"/>
        <w:jc w:val="both"/>
      </w:pPr>
      <w:r w:rsidRPr="00BF0B94">
        <w:t>Вторичный рынок ценных бумаг, концентрируя спрос и предложение обращающихся ценных бумаг, формирует тот равновесный курс, по которому продавцы согласны продать, а покупатели – купить ценные бумаги, что необходимо при перераспределении ссудного капитала между отраслями и сферами экономики, между хозяйствующими субъектами.</w:t>
      </w:r>
    </w:p>
    <w:p w:rsidR="004153E3" w:rsidRPr="00BF0B94" w:rsidRDefault="004153E3" w:rsidP="00BF0B94">
      <w:pPr>
        <w:pStyle w:val="a3"/>
        <w:jc w:val="both"/>
      </w:pPr>
      <w:r w:rsidRPr="00BF0B94">
        <w:t>Возможность перепродажи – важный фактор, учитываемый инвестором при покупке ценных бумаг на первичном рынке. Функцией вторичного рынка становятся сбалансированность рынка ценных бумаг и обеспечение ликвидности. Ликвидный рынок характеризуется незначительным разрывом между ценой продавца и ценой покупателя; небольшими колебаниями цен от сделки к сделке. Более того, ликвидность рынка тем выше, чем больше число участников продажи и возможность оперативной перепродажи ценных бумаг, а также чем выше процент новизны предложенных для продажи ценных бумаг.</w:t>
      </w:r>
    </w:p>
    <w:p w:rsidR="004153E3" w:rsidRPr="00BF0B94" w:rsidRDefault="004153E3" w:rsidP="00BF0B94">
      <w:pPr>
        <w:pStyle w:val="a3"/>
        <w:jc w:val="both"/>
      </w:pPr>
      <w:r w:rsidRPr="00BF0B94">
        <w:t>Вторичный рынок служит неотъемлемой составной частью всякого сколько-нибудь развитого рынка ценных бумаг. Следует, однако, учитывать, что сберегательные облигации, именные акции, проданные работникам данного предприятия, не обращаются на вторичном рынке. Они реализуются через механизм перерегистрации прав их владельцев в депозитариях, коммерческих банках либо самих акционерных обществах.</w:t>
      </w:r>
    </w:p>
    <w:p w:rsidR="004153E3" w:rsidRPr="00BF0B94" w:rsidRDefault="004153E3" w:rsidP="00BF0B94">
      <w:pPr>
        <w:pStyle w:val="a3"/>
        <w:jc w:val="both"/>
      </w:pPr>
      <w:r w:rsidRPr="00BF0B94">
        <w:t>По уровню ликвидности рынок России далеко уступает рынкам развитых стран. В России ликвидными являются рынок государственных ценных бумаг, имеющий соответствующую инфраструктуру, и рынок акций не более 200 акционерных обществ (нефть, газ, телефонная сеть, «электричество» и т. п.). Вторичный рынок акций производственных компаний находится в зачаточном состоянии.</w:t>
      </w:r>
    </w:p>
    <w:p w:rsidR="004153E3" w:rsidRPr="00BF0B94" w:rsidRDefault="004153E3" w:rsidP="00BF0B94">
      <w:pPr>
        <w:pStyle w:val="a3"/>
        <w:jc w:val="both"/>
      </w:pPr>
      <w:r w:rsidRPr="00BF0B94">
        <w:t>Существуют две основные организационные разновидности вторичных рынков ценных бумаг – биржевой (организованный); неорганизованный (внебиржевой). В свою очередь, и тот, и другой принимают разнообразные формы организации.</w:t>
      </w:r>
    </w:p>
    <w:p w:rsidR="004153E3" w:rsidRPr="00BF0B94" w:rsidRDefault="004153E3" w:rsidP="00BF0B94">
      <w:pPr>
        <w:pStyle w:val="a3"/>
        <w:jc w:val="both"/>
        <w:rPr>
          <w:b/>
          <w:bCs/>
        </w:rPr>
      </w:pPr>
      <w:r w:rsidRPr="00BF0B94">
        <w:rPr>
          <w:b/>
          <w:bCs/>
        </w:rPr>
        <w:t>Вторичный рынок ценных бумаг</w:t>
      </w:r>
    </w:p>
    <w:tbl>
      <w:tblPr>
        <w:tblW w:w="7815"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7815"/>
      </w:tblGrid>
      <w:tr w:rsidR="004153E3" w:rsidRPr="00BF0B94">
        <w:trPr>
          <w:trHeight w:val="330"/>
          <w:tblCellSpacing w:w="7" w:type="dxa"/>
        </w:trPr>
        <w:tc>
          <w:tcPr>
            <w:tcW w:w="0" w:type="auto"/>
            <w:tcBorders>
              <w:top w:val="outset" w:sz="6" w:space="0" w:color="auto"/>
              <w:left w:val="outset" w:sz="6" w:space="0" w:color="auto"/>
              <w:bottom w:val="outset" w:sz="6" w:space="0" w:color="auto"/>
              <w:right w:val="outset" w:sz="6" w:space="0" w:color="auto"/>
            </w:tcBorders>
          </w:tcPr>
          <w:p w:rsidR="004153E3" w:rsidRPr="00BF0B94" w:rsidRDefault="004153E3" w:rsidP="00BF0B94">
            <w:pPr>
              <w:pStyle w:val="a3"/>
              <w:jc w:val="both"/>
            </w:pPr>
            <w:r w:rsidRPr="00BF0B94">
              <w:rPr>
                <w:b/>
                <w:bCs/>
                <w:i/>
                <w:iCs/>
              </w:rPr>
              <w:t>перепродажа выпущенных</w:t>
            </w:r>
            <w:r w:rsidRPr="00BF0B94">
              <w:rPr>
                <w:b/>
                <w:bCs/>
              </w:rPr>
              <w:t xml:space="preserve"> </w:t>
            </w:r>
            <w:r w:rsidRPr="00BF0B94">
              <w:rPr>
                <w:b/>
                <w:bCs/>
                <w:i/>
                <w:iCs/>
              </w:rPr>
              <w:t>в</w:t>
            </w:r>
            <w:r w:rsidRPr="00BF0B94">
              <w:rPr>
                <w:b/>
                <w:bCs/>
              </w:rPr>
              <w:t xml:space="preserve"> </w:t>
            </w:r>
            <w:r w:rsidRPr="00BF0B94">
              <w:rPr>
                <w:b/>
                <w:bCs/>
                <w:i/>
                <w:iCs/>
              </w:rPr>
              <w:t>обращение</w:t>
            </w:r>
            <w:r w:rsidRPr="00BF0B94">
              <w:rPr>
                <w:b/>
                <w:bCs/>
              </w:rPr>
              <w:t xml:space="preserve"> </w:t>
            </w:r>
            <w:r w:rsidRPr="00BF0B94">
              <w:rPr>
                <w:b/>
                <w:bCs/>
                <w:i/>
                <w:iCs/>
              </w:rPr>
              <w:t>ценных бумаг.</w:t>
            </w:r>
          </w:p>
        </w:tc>
      </w:tr>
    </w:tbl>
    <w:p w:rsidR="004153E3" w:rsidRPr="00BF0B94" w:rsidRDefault="004153E3" w:rsidP="00BF0B94">
      <w:pPr>
        <w:pStyle w:val="a3"/>
        <w:jc w:val="both"/>
      </w:pPr>
      <w:r w:rsidRPr="00BF0B94">
        <w:t> </w:t>
      </w:r>
    </w:p>
    <w:p w:rsidR="004153E3" w:rsidRPr="00BF0B94" w:rsidRDefault="004153E3" w:rsidP="00BF0B94">
      <w:pPr>
        <w:pStyle w:val="a3"/>
        <w:jc w:val="both"/>
        <w:rPr>
          <w:b/>
          <w:bCs/>
          <w:i/>
          <w:iCs/>
        </w:rPr>
      </w:pPr>
      <w:r w:rsidRPr="00BF0B94">
        <w:rPr>
          <w:b/>
          <w:bCs/>
          <w:i/>
          <w:iCs/>
        </w:rPr>
        <w:t>Основные типы</w:t>
      </w:r>
    </w:p>
    <w:tbl>
      <w:tblPr>
        <w:tblW w:w="7875"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7875"/>
      </w:tblGrid>
      <w:tr w:rsidR="004153E3" w:rsidRPr="00BF0B94">
        <w:trPr>
          <w:trHeight w:val="330"/>
          <w:tblCellSpacing w:w="7" w:type="dxa"/>
        </w:trPr>
        <w:tc>
          <w:tcPr>
            <w:tcW w:w="0" w:type="auto"/>
            <w:tcBorders>
              <w:top w:val="outset" w:sz="6" w:space="0" w:color="auto"/>
              <w:left w:val="outset" w:sz="6" w:space="0" w:color="auto"/>
              <w:bottom w:val="outset" w:sz="6" w:space="0" w:color="auto"/>
              <w:right w:val="outset" w:sz="6" w:space="0" w:color="auto"/>
            </w:tcBorders>
          </w:tcPr>
          <w:p w:rsidR="004153E3" w:rsidRPr="00BF0B94" w:rsidRDefault="004153E3" w:rsidP="00BF0B94">
            <w:pPr>
              <w:pStyle w:val="a3"/>
              <w:jc w:val="both"/>
            </w:pPr>
            <w:r w:rsidRPr="00BF0B94">
              <w:t>Неорганизованный рынок; организованный рынок.</w:t>
            </w:r>
          </w:p>
        </w:tc>
      </w:tr>
    </w:tbl>
    <w:p w:rsidR="004153E3" w:rsidRPr="00BF0B94" w:rsidRDefault="004153E3" w:rsidP="00BF0B94">
      <w:pPr>
        <w:pStyle w:val="a3"/>
        <w:jc w:val="both"/>
      </w:pPr>
      <w:r w:rsidRPr="00BF0B94">
        <w:t> </w:t>
      </w:r>
    </w:p>
    <w:p w:rsidR="004153E3" w:rsidRPr="00BF0B94" w:rsidRDefault="004153E3" w:rsidP="00BF0B94">
      <w:pPr>
        <w:pStyle w:val="a3"/>
        <w:jc w:val="both"/>
        <w:rPr>
          <w:b/>
          <w:bCs/>
          <w:i/>
          <w:iCs/>
        </w:rPr>
      </w:pPr>
      <w:r w:rsidRPr="00BF0B94">
        <w:rPr>
          <w:b/>
          <w:bCs/>
          <w:i/>
          <w:iCs/>
        </w:rPr>
        <w:t>Основа</w:t>
      </w:r>
    </w:p>
    <w:tbl>
      <w:tblPr>
        <w:tblW w:w="7920"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7920"/>
      </w:tblGrid>
      <w:tr w:rsidR="004153E3" w:rsidRPr="00BF0B94">
        <w:trPr>
          <w:trHeight w:val="330"/>
          <w:tblCellSpacing w:w="7" w:type="dxa"/>
        </w:trPr>
        <w:tc>
          <w:tcPr>
            <w:tcW w:w="0" w:type="auto"/>
            <w:tcBorders>
              <w:top w:val="outset" w:sz="6" w:space="0" w:color="auto"/>
              <w:left w:val="outset" w:sz="6" w:space="0" w:color="auto"/>
              <w:bottom w:val="outset" w:sz="6" w:space="0" w:color="auto"/>
              <w:right w:val="outset" w:sz="6" w:space="0" w:color="auto"/>
            </w:tcBorders>
          </w:tcPr>
          <w:p w:rsidR="004153E3" w:rsidRPr="00BF0B94" w:rsidRDefault="004153E3" w:rsidP="00BF0B94">
            <w:pPr>
              <w:pStyle w:val="a3"/>
              <w:jc w:val="both"/>
            </w:pPr>
            <w:r w:rsidRPr="00BF0B94">
              <w:t>организованный биржевой рынок ценных бумаг.</w:t>
            </w:r>
          </w:p>
        </w:tc>
      </w:tr>
    </w:tbl>
    <w:p w:rsidR="004153E3" w:rsidRPr="00BF0B94" w:rsidRDefault="004153E3" w:rsidP="00BF0B94">
      <w:pPr>
        <w:pStyle w:val="a3"/>
        <w:jc w:val="both"/>
      </w:pPr>
      <w:r w:rsidRPr="00BF0B94">
        <w:t> </w:t>
      </w:r>
    </w:p>
    <w:p w:rsidR="004153E3" w:rsidRPr="00BF0B94" w:rsidRDefault="004153E3" w:rsidP="00BF0B94">
      <w:pPr>
        <w:pStyle w:val="a3"/>
        <w:jc w:val="both"/>
        <w:rPr>
          <w:i/>
          <w:iCs/>
        </w:rPr>
      </w:pPr>
      <w:r w:rsidRPr="00BF0B94">
        <w:rPr>
          <w:i/>
          <w:iCs/>
        </w:rPr>
        <w:t>Основные функции</w:t>
      </w:r>
    </w:p>
    <w:tbl>
      <w:tblPr>
        <w:tblW w:w="7920"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7920"/>
      </w:tblGrid>
      <w:tr w:rsidR="004153E3" w:rsidRPr="00BF0B94">
        <w:trPr>
          <w:trHeight w:val="2261"/>
          <w:tblCellSpacing w:w="7" w:type="dxa"/>
        </w:trPr>
        <w:tc>
          <w:tcPr>
            <w:tcW w:w="0" w:type="auto"/>
            <w:tcBorders>
              <w:top w:val="outset" w:sz="6" w:space="0" w:color="auto"/>
              <w:left w:val="outset" w:sz="6" w:space="0" w:color="auto"/>
              <w:bottom w:val="outset" w:sz="6" w:space="0" w:color="auto"/>
              <w:right w:val="outset" w:sz="6" w:space="0" w:color="auto"/>
            </w:tcBorders>
          </w:tcPr>
          <w:p w:rsidR="004153E3" w:rsidRPr="00BF0B94" w:rsidRDefault="004153E3" w:rsidP="00BF0B94">
            <w:pPr>
              <w:pStyle w:val="a3"/>
              <w:jc w:val="both"/>
            </w:pPr>
            <w:r w:rsidRPr="00BF0B94">
              <w:rPr>
                <w:i/>
                <w:iCs/>
              </w:rPr>
              <w:t>•</w:t>
            </w:r>
            <w:r w:rsidRPr="00BF0B94">
              <w:t xml:space="preserve"> сводит продавцов и покупателей ценных бумаг;</w:t>
            </w:r>
          </w:p>
          <w:p w:rsidR="004153E3" w:rsidRPr="00BF0B94" w:rsidRDefault="004153E3" w:rsidP="00BF0B94">
            <w:pPr>
              <w:pStyle w:val="a3"/>
              <w:jc w:val="both"/>
            </w:pPr>
            <w:r w:rsidRPr="00BF0B94">
              <w:t>• обеспечивает куплю-продажу ценных бумаг;</w:t>
            </w:r>
          </w:p>
          <w:p w:rsidR="004153E3" w:rsidRPr="00BF0B94" w:rsidRDefault="004153E3" w:rsidP="00BF0B94">
            <w:pPr>
              <w:pStyle w:val="a3"/>
              <w:jc w:val="both"/>
            </w:pPr>
            <w:r w:rsidRPr="00BF0B94">
              <w:t>• определяет рыночную цену ценных бумаг;</w:t>
            </w:r>
          </w:p>
          <w:p w:rsidR="004153E3" w:rsidRPr="00BF0B94" w:rsidRDefault="004153E3" w:rsidP="00BF0B94">
            <w:pPr>
              <w:pStyle w:val="a3"/>
              <w:jc w:val="both"/>
            </w:pPr>
            <w:r w:rsidRPr="00BF0B94">
              <w:t>• распространяет информацию о рыночной цене ценных бумаг.</w:t>
            </w:r>
          </w:p>
        </w:tc>
      </w:tr>
    </w:tbl>
    <w:p w:rsidR="004153E3" w:rsidRPr="00BF0B94" w:rsidRDefault="004153E3" w:rsidP="00BF0B94">
      <w:pPr>
        <w:pStyle w:val="a3"/>
        <w:jc w:val="both"/>
      </w:pPr>
      <w:r w:rsidRPr="00BF0B94">
        <w:t> </w:t>
      </w:r>
    </w:p>
    <w:p w:rsidR="004153E3" w:rsidRPr="00BF0B94" w:rsidRDefault="004153E3" w:rsidP="00BF0B94">
      <w:pPr>
        <w:pStyle w:val="a3"/>
        <w:jc w:val="both"/>
        <w:rPr>
          <w:b/>
          <w:bCs/>
          <w:i/>
          <w:iCs/>
        </w:rPr>
      </w:pPr>
      <w:r w:rsidRPr="00BF0B94">
        <w:rPr>
          <w:b/>
          <w:bCs/>
          <w:i/>
          <w:iCs/>
        </w:rPr>
        <w:t>Форма организации</w:t>
      </w:r>
    </w:p>
    <w:tbl>
      <w:tblPr>
        <w:tblW w:w="7875"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7875"/>
      </w:tblGrid>
      <w:tr w:rsidR="004153E3" w:rsidRPr="00BF0B94">
        <w:trPr>
          <w:trHeight w:val="2122"/>
          <w:tblCellSpacing w:w="7" w:type="dxa"/>
        </w:trPr>
        <w:tc>
          <w:tcPr>
            <w:tcW w:w="0" w:type="auto"/>
            <w:tcBorders>
              <w:top w:val="outset" w:sz="6" w:space="0" w:color="auto"/>
              <w:left w:val="outset" w:sz="6" w:space="0" w:color="auto"/>
              <w:bottom w:val="outset" w:sz="6" w:space="0" w:color="auto"/>
              <w:right w:val="outset" w:sz="6" w:space="0" w:color="auto"/>
            </w:tcBorders>
          </w:tcPr>
          <w:p w:rsidR="004153E3" w:rsidRPr="00BF0B94" w:rsidRDefault="004153E3" w:rsidP="00BF0B94">
            <w:pPr>
              <w:pStyle w:val="a3"/>
              <w:jc w:val="both"/>
            </w:pPr>
            <w:r w:rsidRPr="00BF0B94">
              <w:t>Фондовая биржа —</w:t>
            </w:r>
          </w:p>
          <w:p w:rsidR="004153E3" w:rsidRPr="00BF0B94" w:rsidRDefault="004153E3" w:rsidP="00BF0B94">
            <w:pPr>
              <w:pStyle w:val="a3"/>
              <w:jc w:val="both"/>
              <w:rPr>
                <w:i/>
                <w:iCs/>
              </w:rPr>
            </w:pPr>
            <w:r w:rsidRPr="00BF0B94">
              <w:rPr>
                <w:i/>
                <w:iCs/>
              </w:rPr>
              <w:t>- специализированная организация, где по специальным</w:t>
            </w:r>
            <w:r w:rsidRPr="00BF0B94">
              <w:t xml:space="preserve"> </w:t>
            </w:r>
            <w:r w:rsidRPr="00BF0B94">
              <w:rPr>
                <w:i/>
                <w:iCs/>
              </w:rPr>
              <w:t>правилам и процедурам осуществляются встреча продавцов ценных бумаг</w:t>
            </w:r>
            <w:r w:rsidRPr="00BF0B94">
              <w:t xml:space="preserve"> </w:t>
            </w:r>
            <w:r w:rsidRPr="00BF0B94">
              <w:rPr>
                <w:i/>
                <w:iCs/>
              </w:rPr>
              <w:t>с их</w:t>
            </w:r>
            <w:r w:rsidRPr="00BF0B94">
              <w:t xml:space="preserve"> </w:t>
            </w:r>
            <w:r w:rsidRPr="00BF0B94">
              <w:rPr>
                <w:i/>
                <w:iCs/>
              </w:rPr>
              <w:t>покупателями и совершение сделок купли-продажи ценных</w:t>
            </w:r>
            <w:r w:rsidRPr="00BF0B94">
              <w:t xml:space="preserve"> </w:t>
            </w:r>
            <w:r w:rsidRPr="00BF0B94">
              <w:rPr>
                <w:i/>
                <w:iCs/>
              </w:rPr>
              <w:t>бумаг.</w:t>
            </w:r>
          </w:p>
        </w:tc>
      </w:tr>
    </w:tbl>
    <w:p w:rsidR="004153E3" w:rsidRPr="00BF0B94" w:rsidRDefault="004153E3" w:rsidP="00BF0B94">
      <w:pPr>
        <w:pStyle w:val="a3"/>
        <w:jc w:val="both"/>
      </w:pPr>
      <w:r w:rsidRPr="00BF0B94">
        <w:t> </w:t>
      </w:r>
    </w:p>
    <w:p w:rsidR="004153E3" w:rsidRPr="00BF0B94" w:rsidRDefault="004153E3" w:rsidP="00BF0B94">
      <w:pPr>
        <w:pStyle w:val="a3"/>
        <w:jc w:val="both"/>
        <w:rPr>
          <w:b/>
          <w:bCs/>
          <w:i/>
          <w:iCs/>
        </w:rPr>
      </w:pPr>
      <w:r w:rsidRPr="00BF0B94">
        <w:rPr>
          <w:b/>
          <w:bCs/>
          <w:i/>
          <w:iCs/>
        </w:rPr>
        <w:t>Основные субъекты</w:t>
      </w:r>
    </w:p>
    <w:tbl>
      <w:tblPr>
        <w:tblW w:w="8160"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8160"/>
      </w:tblGrid>
      <w:tr w:rsidR="004153E3" w:rsidRPr="00BF0B94">
        <w:trPr>
          <w:trHeight w:val="2182"/>
          <w:tblCellSpacing w:w="7" w:type="dxa"/>
        </w:trPr>
        <w:tc>
          <w:tcPr>
            <w:tcW w:w="0" w:type="auto"/>
            <w:tcBorders>
              <w:top w:val="outset" w:sz="6" w:space="0" w:color="auto"/>
              <w:left w:val="outset" w:sz="6" w:space="0" w:color="auto"/>
              <w:bottom w:val="outset" w:sz="6" w:space="0" w:color="auto"/>
              <w:right w:val="outset" w:sz="6" w:space="0" w:color="auto"/>
            </w:tcBorders>
          </w:tcPr>
          <w:p w:rsidR="004153E3" w:rsidRPr="00BF0B94" w:rsidRDefault="004153E3" w:rsidP="00BF0B94">
            <w:pPr>
              <w:pStyle w:val="a3"/>
              <w:jc w:val="both"/>
              <w:rPr>
                <w:b/>
                <w:bCs/>
              </w:rPr>
            </w:pPr>
            <w:r w:rsidRPr="00BF0B94">
              <w:rPr>
                <w:b/>
                <w:bCs/>
                <w:i/>
                <w:iCs/>
              </w:rPr>
              <w:t>•</w:t>
            </w:r>
            <w:r w:rsidRPr="00BF0B94">
              <w:rPr>
                <w:b/>
                <w:bCs/>
              </w:rPr>
              <w:t xml:space="preserve"> покупатели ценных бумаг;</w:t>
            </w:r>
          </w:p>
          <w:p w:rsidR="004153E3" w:rsidRPr="00BF0B94" w:rsidRDefault="004153E3" w:rsidP="00BF0B94">
            <w:pPr>
              <w:pStyle w:val="a3"/>
              <w:jc w:val="both"/>
              <w:rPr>
                <w:b/>
                <w:bCs/>
              </w:rPr>
            </w:pPr>
            <w:r w:rsidRPr="00BF0B94">
              <w:rPr>
                <w:b/>
                <w:bCs/>
              </w:rPr>
              <w:t>• продавцы ценных бумаг;</w:t>
            </w:r>
          </w:p>
          <w:p w:rsidR="004153E3" w:rsidRPr="00BF0B94" w:rsidRDefault="004153E3" w:rsidP="00BF0B94">
            <w:pPr>
              <w:pStyle w:val="a3"/>
              <w:jc w:val="both"/>
            </w:pPr>
            <w:r w:rsidRPr="00BF0B94">
              <w:rPr>
                <w:b/>
                <w:bCs/>
              </w:rPr>
              <w:t>• посредники по купле-продаже ценных бумаг — брокеры и дилеры.</w:t>
            </w:r>
          </w:p>
        </w:tc>
      </w:tr>
    </w:tbl>
    <w:p w:rsidR="00AD069C" w:rsidRPr="00BF0B94" w:rsidRDefault="00AD069C" w:rsidP="00BF0B94">
      <w:pPr>
        <w:jc w:val="both"/>
        <w:rPr>
          <w:b/>
          <w:bCs/>
          <w:lang w:val="en-US"/>
        </w:rPr>
      </w:pPr>
    </w:p>
    <w:p w:rsidR="00AD069C" w:rsidRPr="00BF0B94" w:rsidRDefault="00AD069C" w:rsidP="00BF0B94">
      <w:pPr>
        <w:jc w:val="both"/>
        <w:rPr>
          <w:b/>
          <w:bCs/>
        </w:rPr>
        <w:sectPr w:rsidR="00AD069C" w:rsidRPr="00BF0B94">
          <w:pgSz w:w="11906" w:h="16838"/>
          <w:pgMar w:top="1134" w:right="850" w:bottom="1134" w:left="1701" w:header="708" w:footer="708" w:gutter="0"/>
          <w:cols w:space="708"/>
          <w:docGrid w:linePitch="360"/>
        </w:sectPr>
      </w:pPr>
    </w:p>
    <w:p w:rsidR="00AD1A35" w:rsidRPr="00BF0B94" w:rsidRDefault="00AD1A35" w:rsidP="00BF0B94">
      <w:pPr>
        <w:jc w:val="both"/>
        <w:outlineLvl w:val="0"/>
        <w:rPr>
          <w:b/>
          <w:bCs/>
          <w:i/>
          <w:lang w:val="en-US"/>
        </w:rPr>
      </w:pPr>
      <w:bookmarkStart w:id="1" w:name="_Toc190921656"/>
      <w:r w:rsidRPr="00BF0B94">
        <w:rPr>
          <w:b/>
          <w:bCs/>
          <w:i/>
        </w:rPr>
        <w:t>Развитие законодательства РФ в области РЦБ.</w:t>
      </w:r>
      <w:bookmarkEnd w:id="1"/>
      <w:r w:rsidRPr="00BF0B94">
        <w:rPr>
          <w:b/>
          <w:bCs/>
          <w:i/>
        </w:rPr>
        <w:t xml:space="preserve"> </w:t>
      </w:r>
    </w:p>
    <w:p w:rsidR="00AD069C" w:rsidRPr="00BF0B94" w:rsidRDefault="00AD069C" w:rsidP="00BF0B94">
      <w:pPr>
        <w:jc w:val="both"/>
        <w:rPr>
          <w:i/>
          <w:lang w:val="en-US"/>
        </w:rPr>
      </w:pPr>
    </w:p>
    <w:p w:rsidR="00AD1A35" w:rsidRPr="00BF0B94" w:rsidRDefault="00AD1A35" w:rsidP="00BF0B94">
      <w:pPr>
        <w:jc w:val="both"/>
      </w:pPr>
      <w:r w:rsidRPr="00BF0B94">
        <w:t xml:space="preserve">Я думаю, что прежде всего надо начать с того что нормативно-правовая рынка ценных бумаг в странах с развитым рыночным хозяйством создавалась на протяжении многих десятилетий. В России, где формирование рыночных отношений связано с преодолением многих препятствий, созданных старой системой, этот процесс протекает особенно трудно. Административно-командная экономика почти не нуждалась в ценных бумагах. Ликвидация после 1917 года рынка ценных бумаг и замена экономических методов хозяйствования методами командно-аминистративными исключили какую-либо историческую преемственность в законотворческой деятельности. С конца 20-х и до конца 70-х годов не было принято никаких нормативных актов о ценных бумагах. Единственным документом такого рода было «Положение о простом и переводном векселе», он был издан в 1937 году. </w:t>
      </w:r>
    </w:p>
    <w:p w:rsidR="00AD1A35" w:rsidRPr="00BF0B94" w:rsidRDefault="00AD1A35" w:rsidP="00BF0B94">
      <w:pPr>
        <w:jc w:val="both"/>
      </w:pPr>
      <w:r w:rsidRPr="00BF0B94">
        <w:t>Объективные и субъективные предпосылки для возрождения в стране рынка ценных бумаг начали формироваться только в конце 80-х годов. В связи с развитием товарно-денежных отношений, появилось множество нормативных актов и постановлений, не образующих, какой-либо целостной системы, объединенных единой правовой концепцией. Необходимость упорядочивания этого процесса потребовало установления правовых норм, регулирующих на государственном уровне выпуск и обращение ценных бумаг, а также деятельность профессиональных участников рынка ценных бумаг. Разработанные и принятые в этом плане документы можно разделить на три группы:</w:t>
      </w:r>
    </w:p>
    <w:p w:rsidR="00AD1A35" w:rsidRPr="00BF0B94" w:rsidRDefault="00AD1A35" w:rsidP="00BF0B94">
      <w:pPr>
        <w:jc w:val="both"/>
      </w:pPr>
      <w:r w:rsidRPr="00BF0B94">
        <w:t></w:t>
      </w:r>
      <w:r w:rsidRPr="00BF0B94">
        <w:t>Законодательные и нормативные акты, исходившие от Союзного и Российского парламентов;</w:t>
      </w:r>
    </w:p>
    <w:p w:rsidR="00AD1A35" w:rsidRPr="00BF0B94" w:rsidRDefault="00AD1A35" w:rsidP="00BF0B94">
      <w:pPr>
        <w:jc w:val="both"/>
      </w:pPr>
      <w:r w:rsidRPr="00BF0B94">
        <w:t></w:t>
      </w:r>
      <w:r w:rsidRPr="00BF0B94">
        <w:t>Указы Президента Российской Федерации и постановления правительства;</w:t>
      </w:r>
    </w:p>
    <w:p w:rsidR="00AD1A35" w:rsidRPr="00BF0B94" w:rsidRDefault="00AD1A35" w:rsidP="00BF0B94">
      <w:pPr>
        <w:jc w:val="both"/>
      </w:pPr>
      <w:r w:rsidRPr="00BF0B94">
        <w:t></w:t>
      </w:r>
      <w:r w:rsidRPr="00BF0B94">
        <w:t>Ведомственные нормативные акты Министерства финансов, Центрального банка, Госкомимущества Российской Федерации и других правительственных органов;</w:t>
      </w:r>
    </w:p>
    <w:p w:rsidR="00AD1A35" w:rsidRPr="00BF0B94" w:rsidRDefault="00AD1A35" w:rsidP="00BF0B94">
      <w:pPr>
        <w:jc w:val="both"/>
      </w:pPr>
      <w:r w:rsidRPr="00BF0B94">
        <w:t xml:space="preserve">В Российской Федерации нормативные документы, регламентирующие деятельность на рынке ценных бумаг, начали разрабатываться в конце 1990года. Это были прежде всего « Закон о Центральном банке РСФСР», Закон «О банках и банковской деятельности в РСФСР»[1] (от 2 декабря 1990года), Закон «Положение о выпуске и обращении ценных бумаг и фондовых биржах В РСФСР» , «Положение об акционерных обществах»(от 28 декабря 1991 года). Эти нормативные документы впервые за последние 60 лет дали официальную трактовку таких понятий, как акция, облигация, сертификат ценной бумаги, опцион, а также определили порядок выплаты дивидендов и процентов. С этого времени работа по определению принципов и правил регулирования рынка ценных бумаг сконцентрировалась в исполнительных органах – в Правительстве, в Министерстве финансов и Центральном банке РФ. </w:t>
      </w:r>
    </w:p>
    <w:p w:rsidR="00AD1A35" w:rsidRPr="00BF0B94" w:rsidRDefault="00AD1A35" w:rsidP="00BF0B94">
      <w:pPr>
        <w:jc w:val="both"/>
      </w:pPr>
      <w:r w:rsidRPr="00BF0B94">
        <w:t xml:space="preserve">К числу основных нормативных документов рынка ценных бумаг относится Закон РСФСР от 3 июля 1991года «О приватизации Государственных и муниципальных предприятий в Российской Федерации» и «Государственная программа приватизации государственных и муниципальных предприятий Российской Федерации», закон от 22 апреля 1996 года «О рынке ценных бумаг», «об акционерных обществах». Более частный характер имеют многие другие законодательные акты, изданные государственными органами. К их числу принадлежат решения о применении векселя в хозяйственном обороте; о введении залога; о развитии ипотечных операций; о создании холдинговых компаний; о разрешении иностранцам приобретать акции российских акционерных обществ; и т.д. Самый основной правовой акт принятый не так давно, по моему мнению и не только, это закон «О рынке ценных бумаг». Этот правовой акт становится своеобразным стержнем, который будет определять стратегию развития фондового рынка на ближайшие лет пять. С вступлением его в силу появляется четкое разграничение полномочий всех органов власти, которые до этого времени, так или иначе контролировали данный рынок. А их было около десятка. Это Федеральная комиссия по ценным бумагами и фондовому рынку, Центробанк, Минфин, Госкомимущество и другие. Теперь каждому из них отводится свое место. Главенствующее положение занимает Федеральная комиссия по рынку ценных бумаг. Она контролирует деятельность профессиональных участников фондового рынка. </w:t>
      </w:r>
    </w:p>
    <w:p w:rsidR="00AD1A35" w:rsidRPr="00BF0B94" w:rsidRDefault="00AD1A35" w:rsidP="00BF0B94">
      <w:pPr>
        <w:jc w:val="both"/>
      </w:pPr>
      <w:r w:rsidRPr="00BF0B94">
        <w:t>В нормативной базе рынка ценных бумаг существуют несомненные пробелы и нестыковки, одни из них достаточно серьёзны, другие тактического характера.</w:t>
      </w:r>
    </w:p>
    <w:p w:rsidR="00AD1A35" w:rsidRPr="00BF0B94" w:rsidRDefault="00AD1A35" w:rsidP="00BF0B94">
      <w:pPr>
        <w:jc w:val="both"/>
      </w:pPr>
      <w:r w:rsidRPr="00BF0B94">
        <w:t xml:space="preserve">Главной стратегической проблемой является ответственность. У нас есть множество норм в законах, но нет никакой ответственности за их нарушение. </w:t>
      </w:r>
    </w:p>
    <w:p w:rsidR="00AD069C" w:rsidRPr="00BF0B94" w:rsidRDefault="00AD069C" w:rsidP="00BF0B94">
      <w:pPr>
        <w:pStyle w:val="1"/>
        <w:jc w:val="both"/>
        <w:rPr>
          <w:rFonts w:ascii="Times New Roman" w:hAnsi="Times New Roman"/>
          <w:i/>
          <w:color w:val="auto"/>
          <w:sz w:val="24"/>
          <w:szCs w:val="24"/>
        </w:rPr>
        <w:sectPr w:rsidR="00AD069C" w:rsidRPr="00BF0B94">
          <w:pgSz w:w="11906" w:h="16838"/>
          <w:pgMar w:top="1134" w:right="850" w:bottom="1134" w:left="1701" w:header="708" w:footer="708" w:gutter="0"/>
          <w:cols w:space="708"/>
          <w:docGrid w:linePitch="360"/>
        </w:sectPr>
      </w:pPr>
    </w:p>
    <w:p w:rsidR="00AD069C" w:rsidRPr="00BF0B94" w:rsidRDefault="00AD069C" w:rsidP="00BF0B94">
      <w:pPr>
        <w:pStyle w:val="1"/>
        <w:jc w:val="both"/>
        <w:rPr>
          <w:rFonts w:ascii="Times New Roman" w:hAnsi="Times New Roman"/>
          <w:i/>
          <w:color w:val="auto"/>
          <w:sz w:val="24"/>
          <w:szCs w:val="24"/>
        </w:rPr>
      </w:pPr>
      <w:bookmarkStart w:id="2" w:name="_Toc190921657"/>
      <w:r w:rsidRPr="00BF0B94">
        <w:rPr>
          <w:rFonts w:ascii="Times New Roman" w:hAnsi="Times New Roman"/>
          <w:i/>
          <w:color w:val="auto"/>
          <w:sz w:val="24"/>
          <w:szCs w:val="24"/>
        </w:rPr>
        <w:t>Современная ситуация</w:t>
      </w:r>
      <w:bookmarkEnd w:id="2"/>
    </w:p>
    <w:p w:rsidR="00AD069C" w:rsidRPr="00BF0B94" w:rsidRDefault="00AD069C" w:rsidP="00BF0B94">
      <w:pPr>
        <w:pStyle w:val="a3"/>
        <w:jc w:val="both"/>
      </w:pPr>
      <w:r w:rsidRPr="00BF0B94">
        <w:t>В НАЧАЛЕ 90-х гг. биржи росли как грибы после дождя. Однако они даже отдаленно не походили на цивилизованные и напоминали скорее оптовые рынки. Продавалось там буквально все - от "КамАЗов" до джинсов. Потом свежую кровь внесла приватизация. Огромные деньги в виде ваучеров, акций предприятий, вкладов населения с новой силой разожгли торговлю. На биржах стали открываться фондовые секции для торговли акциями. Их тогда было около 130. После череды кризисов большинство из них разорилось. Сейчас в Москве, по данным Федеральной комиссии по рынку ценных бумаг (ФКЦБ), три фондовые биржи: фондовая секция Московской межбанковской валютной биржи (ММВБ), Российская торговая система (РТС), Московская фондовая биржа (МФБ). Самой крупной считается ММВБ, на которую приходится около 80% всего оборота рынка акций. На РТС и МФБ - остальные 20%. Лицензии на брокерское обслуживание в столице имеют около 600 фирм, но с физическими лицами могут работать порядка 270. Самые крупные компании "Тройка Диалог", "Атон", "Ренессанс Капитал", "Брансвик UBS", ОФГ. На них приходится значительная часть биржевого оборота. Однако они в основном ориентированы на работу с компаниями и иностранными инвесторами. С частниками предпочитают работать "Брокеркредитсервис", "ВЭО-Открытие", "Финанс-аналитик", "Аллор-инвест". Кстати, именно деньги физических лиц позволили им за последнее время сильно нарастить свои обороты. У ведущих компаний оборот доходит до 200 млрд. руб. в квартал. Такие обороты стали возможны благодаря торговле через Интернет. Компания выдает клиенту компьютерную программу, и он с домашнего компьютера по Сети подключается к брокеру, который соединяет его с биржей. И человек сам совершает сделки.</w:t>
      </w:r>
    </w:p>
    <w:p w:rsidR="00AD069C" w:rsidRPr="00BF0B94" w:rsidRDefault="00AD069C" w:rsidP="00BF0B94">
      <w:pPr>
        <w:pStyle w:val="a3"/>
        <w:jc w:val="both"/>
      </w:pPr>
      <w:r w:rsidRPr="00BF0B94">
        <w:t xml:space="preserve">Впрочем, основная борьба за вкладчика еще впереди. "Крупные клиенты практически поделены, и компаниям придется обратить внимание на средства физических лиц", - считает руководитель аналитического отдела "Росбизнесконсалтинга" Александр Яковлев. Некоторые брокеры уже готовятся к этому и для удобства "физиков" открывают клиентские залы. Там стоят компьютеры, табло, на которые выводятся котировки акций, биржевые индексы, работает новостная лента, сообщающая о том, что происходит в России и за рубежом. "Доходы населения выросли, и люди стали думать, куда вложить деньги", - говорит начальник клиентского отдела "Брокеркредитсервиса" Юрий Минцев. </w:t>
      </w:r>
    </w:p>
    <w:p w:rsidR="00AD069C" w:rsidRPr="00BF0B94" w:rsidRDefault="00AD069C" w:rsidP="00BF0B94">
      <w:pPr>
        <w:pStyle w:val="a3"/>
        <w:jc w:val="both"/>
      </w:pPr>
      <w:r w:rsidRPr="00BF0B94">
        <w:t xml:space="preserve">Эксперты отмечают, что российский рынок пока еще слишком мал. По данным Федеральной комиссии по рынку ценных бумаг, общая стоимость акций на фондовом рынке составляет около 165 млрд. долл. Например, в США этот показатель равен почти 10 трлн. долл. Как говорят аналитики, тот оборот, который у нас наторговывается на бирже за день, в Нью-Йорке проходит меньше чем за минуту. Поэтому на цены российских акций не так уж трудно воздействовать. "Чтобы изменить движение рынка, достаточно несколько десятков миллионов долларов, - говорит управляющий портфелем компании "Дойчер Инвестмент Траст" Дмитрий Федосов. - Например, когда акции РАО ЕЭС росли по 3-5% в день, в окне котировок мы видели, как серьезный инвестор скупал акции крупными лотами по 2 млн. долл." </w:t>
      </w:r>
    </w:p>
    <w:p w:rsidR="00AD069C" w:rsidRPr="00BF0B94" w:rsidRDefault="00AD069C" w:rsidP="00BF0B94">
      <w:pPr>
        <w:pStyle w:val="a3"/>
        <w:jc w:val="both"/>
      </w:pPr>
      <w:r w:rsidRPr="00BF0B94">
        <w:t xml:space="preserve">Однако стоит учесть, что при всех недостатках российский рынок стабильно растет и позволяет получить хороший доход. За последние три года индекс РТС увеличился в 3 раза. По этим показателям мы далеко обогнали Европу и Америку. Российским рынком заинтересовались даже консервативные западные инвесторы. Причем, как отметил президент фонда Hermitage Capital Уильям Браудер, нашим акциям еще есть куда расти, и они не упадут под тяжестью собственного веса. </w:t>
      </w:r>
    </w:p>
    <w:p w:rsidR="00AD069C" w:rsidRPr="00BF0B94" w:rsidRDefault="00AD069C" w:rsidP="00BF0B94">
      <w:pPr>
        <w:pStyle w:val="a3"/>
        <w:jc w:val="both"/>
      </w:pPr>
      <w:r w:rsidRPr="00BF0B94">
        <w:t xml:space="preserve">ОСНОВНЫМИ игроками на рынке являются крупные брокерские дома, инвестиционные компании и негосударственные пенсионные фонды. Деньги населения пока составляют незначительную часть. По данным ВЦИОМ, в акциях держат сбережения около 3% жителей. В то время как в США вложения на фондовом рынке имеет каждая третья семья. По словам зав. отделом экономических баз данных Института США и Канады Андрея Корнеева, среднему американцу зарплата приносит немногим более половины его дохода, остальные деньги поступают из других источников, первое место из которых занимает биржа. Небольшими пакетами ценных бумаг, на 200-300 долл., владеют даже школьники. </w:t>
      </w:r>
    </w:p>
    <w:p w:rsidR="00AD069C" w:rsidRPr="00BF0B94" w:rsidRDefault="00AD069C" w:rsidP="00BF0B94">
      <w:pPr>
        <w:pStyle w:val="a3"/>
        <w:jc w:val="both"/>
      </w:pPr>
      <w:r w:rsidRPr="00BF0B94">
        <w:t xml:space="preserve">В целом все финансовые рынки взаимосвязаны между собой. И брокеры смотрят, как идет торговля в других странах. "Для нас самые важные биржи - лондонская и нью-йоркская, - рассказывает Александр Яковлев. - Поэтому среди торгового дня есть два важных момента. В 12 часов, когда начинает работу Лондон, и в 17.30, когда оживает Нью-Йорк. В эти моменты возможны значительные колебания акций. Поэтому в это время нужно быть особенно внимательным". Наш рынок еще довольно молодой, но он уже стоит перед важным рубежом. Эксперты считают, что международные рейтинговые агентства готовы присвоить ему инвестиционный рейтинг. Если это произойдет, то к нам потекут большие деньги крупных западных финансистов и акции вырастут еще больше. Насколько - это вопрос. </w:t>
      </w:r>
    </w:p>
    <w:p w:rsidR="00AD069C" w:rsidRPr="00BF0B94" w:rsidRDefault="00AD069C" w:rsidP="00BF0B94">
      <w:pPr>
        <w:pStyle w:val="a3"/>
        <w:jc w:val="both"/>
      </w:pPr>
      <w:r w:rsidRPr="00BF0B94">
        <w:t>Выбор акций на нашем рынке небольшой. Хотя на двух ведущих биржах торгуются активы более чем 500 предприятий, в основном финансисты инвестируют и спекулируют всего несколькими бумагами. Это "голубые фишки". Так называют акции самых крупных российских предприятий: "ЛУКОЙЛ", "ЮКОС", РАО ЕЭС, Сбербанк, "Газпром", "Ростелеком", "Норильский никель", "Сургутнефтегаз", "Мосэнерго". Кстати, из них и складывается костяк фондового рынка - 80% стоимости акций на бирже приходится на них. "Если что-то важное случится с одной бумагой, то станут дешеветь все, - считает аналитик компании "Атон" Анатолий Каплин. - Так произошло во время июльского скандала с "ЮКОСом". Его акции упали на 25%. На 17% снизился и индекс РТС". Допустим, человек решил вложить часть сбережений в акции. Куда ему обратиться? Самому прийти на биржу и торговать нельзя. Работать с акциями могут лишь брокерские, инвестиционные компании и банки: у них есть лицензия и специальное техническое оборудование. Поэтому для начала нужно заключить с кем-то из них контракт, положить на свой счет в компании деньги и уж потом отдавать распоряжения: что купить и что продать. Делать это можно по телефону, Интернету или лично присутствовать в биржевом зале для клиентов. За свою работу брокер берет комиссионные - от 0,05 до 0,1% от суммы сделки. Плюс еще порядка 6-15 долл. в месяц стоит обслуживание депозитария - места, где хранятся акции. Однако самостоятельно заработать на акциях не так-то просто. По словам экспертов, важны не везение и интуиция, а умение анализировать экономическую информацию и принимать взвешенные решения - без специальных навыков риск потерять деньги велик.</w:t>
      </w:r>
    </w:p>
    <w:p w:rsidR="00AD069C" w:rsidRPr="00BF0B94" w:rsidRDefault="00AD069C" w:rsidP="00BF0B94">
      <w:pPr>
        <w:pStyle w:val="1"/>
        <w:jc w:val="both"/>
        <w:rPr>
          <w:rFonts w:ascii="Times New Roman" w:hAnsi="Times New Roman"/>
          <w:color w:val="auto"/>
          <w:sz w:val="24"/>
          <w:szCs w:val="24"/>
        </w:rPr>
      </w:pPr>
    </w:p>
    <w:p w:rsidR="00AD069C" w:rsidRPr="00BF0B94" w:rsidRDefault="00AD069C" w:rsidP="00BF0B94">
      <w:pPr>
        <w:pStyle w:val="1"/>
        <w:jc w:val="both"/>
        <w:rPr>
          <w:rFonts w:ascii="Times New Roman" w:hAnsi="Times New Roman"/>
          <w:i/>
          <w:color w:val="auto"/>
          <w:sz w:val="24"/>
          <w:szCs w:val="24"/>
        </w:rPr>
        <w:sectPr w:rsidR="00AD069C" w:rsidRPr="00BF0B94">
          <w:pgSz w:w="11906" w:h="16838"/>
          <w:pgMar w:top="1134" w:right="850" w:bottom="1134" w:left="1701" w:header="708" w:footer="708" w:gutter="0"/>
          <w:cols w:space="708"/>
          <w:docGrid w:linePitch="360"/>
        </w:sectPr>
      </w:pPr>
    </w:p>
    <w:p w:rsidR="0082430D" w:rsidRPr="00BF0B94" w:rsidRDefault="0082430D" w:rsidP="00BF0B94">
      <w:pPr>
        <w:pStyle w:val="1"/>
        <w:jc w:val="both"/>
        <w:rPr>
          <w:rFonts w:ascii="Times New Roman" w:hAnsi="Times New Roman"/>
          <w:i/>
          <w:color w:val="auto"/>
          <w:sz w:val="24"/>
          <w:szCs w:val="24"/>
        </w:rPr>
      </w:pPr>
      <w:bookmarkStart w:id="3" w:name="_Toc190921658"/>
      <w:r w:rsidRPr="00BF0B94">
        <w:rPr>
          <w:rFonts w:ascii="Times New Roman" w:hAnsi="Times New Roman"/>
          <w:i/>
          <w:color w:val="auto"/>
          <w:sz w:val="24"/>
          <w:szCs w:val="24"/>
        </w:rPr>
        <w:t>Проблемы и перспективы развития РЦБ в России</w:t>
      </w:r>
      <w:bookmarkEnd w:id="3"/>
    </w:p>
    <w:p w:rsidR="0082430D" w:rsidRPr="00BF0B94" w:rsidRDefault="0082430D" w:rsidP="00BF0B94">
      <w:pPr>
        <w:pStyle w:val="a3"/>
        <w:jc w:val="both"/>
      </w:pPr>
      <w:r w:rsidRPr="00BF0B94">
        <w:t xml:space="preserve">Формирование фондового рынка в России повлекло за собой возник-новение, связанных с этим процессом, многочисленных проблем, пре-одоление которых необходимо для дальнейшего успешного развития и функционирования рынка ценных бумаг. Можно выделить следующие ключевые проблемы развития российского фондового рынка, которые требуют первоочередного решения. </w:t>
      </w:r>
    </w:p>
    <w:p w:rsidR="0082430D" w:rsidRPr="00BF0B94" w:rsidRDefault="0082430D" w:rsidP="00BF0B94">
      <w:pPr>
        <w:numPr>
          <w:ilvl w:val="0"/>
          <w:numId w:val="1"/>
        </w:numPr>
        <w:spacing w:before="100" w:beforeAutospacing="1" w:after="100" w:afterAutospacing="1"/>
        <w:jc w:val="both"/>
      </w:pPr>
      <w:r w:rsidRPr="00BF0B94">
        <w:t xml:space="preserve">Преодоление негативно влияющих внешних факторов, т.е. хозяйст-венного кризиса, политической и социальной нестабильности. </w:t>
      </w:r>
    </w:p>
    <w:p w:rsidR="0082430D" w:rsidRPr="00BF0B94" w:rsidRDefault="0082430D" w:rsidP="00BF0B94">
      <w:pPr>
        <w:numPr>
          <w:ilvl w:val="0"/>
          <w:numId w:val="1"/>
        </w:numPr>
        <w:spacing w:before="100" w:beforeAutospacing="1" w:after="100" w:afterAutospacing="1"/>
        <w:jc w:val="both"/>
      </w:pPr>
      <w:r w:rsidRPr="00BF0B94">
        <w:t xml:space="preserve">Целевая переориентация рынка ценных бумаг с первоочередного об-служивания финансовых запросов государства и перераспределения крупных пакетов акций на выполнение своей главной функции - направ-ление свободных денежных ресурсов на цели восстановления и развития производства в России. </w:t>
      </w:r>
    </w:p>
    <w:p w:rsidR="0082430D" w:rsidRPr="00BF0B94" w:rsidRDefault="0082430D" w:rsidP="00BF0B94">
      <w:pPr>
        <w:numPr>
          <w:ilvl w:val="0"/>
          <w:numId w:val="1"/>
        </w:numPr>
        <w:spacing w:before="100" w:beforeAutospacing="1" w:after="100" w:afterAutospacing="1"/>
        <w:jc w:val="both"/>
      </w:pPr>
      <w:r w:rsidRPr="00BF0B94">
        <w:t xml:space="preserve">Улучшение законодательства и контроль за выполнением этого зако-нодательства. </w:t>
      </w:r>
    </w:p>
    <w:p w:rsidR="0082430D" w:rsidRPr="00BF0B94" w:rsidRDefault="0082430D" w:rsidP="00BF0B94">
      <w:pPr>
        <w:numPr>
          <w:ilvl w:val="0"/>
          <w:numId w:val="1"/>
        </w:numPr>
        <w:spacing w:before="100" w:beforeAutospacing="1" w:after="100" w:afterAutospacing="1"/>
        <w:jc w:val="both"/>
      </w:pPr>
      <w:r w:rsidRPr="00BF0B94">
        <w:t xml:space="preserve">Повышение роли государства на фондовом рынке, для чего необходимо: </w:t>
      </w:r>
    </w:p>
    <w:p w:rsidR="0082430D" w:rsidRPr="00BF0B94" w:rsidRDefault="0082430D" w:rsidP="00BF0B94">
      <w:pPr>
        <w:spacing w:before="100" w:beforeAutospacing="1" w:after="100" w:afterAutospacing="1"/>
        <w:ind w:left="1440"/>
        <w:jc w:val="both"/>
      </w:pPr>
      <w:r w:rsidRPr="00BF0B94">
        <w:t>1) создание государственной долгосрочной концепции и политики действий в области восстановления рынка ценных бумаг и его текущего регулирования (окончательный выбор модели фондового рынка (в настоящее время преобладает ориентация на фондовый рынок США),а также определение доли источников финансирова-ния хозяйства и бюджета за счет выпуска ценных бумаг);</w:t>
      </w:r>
    </w:p>
    <w:p w:rsidR="0082430D" w:rsidRPr="00BF0B94" w:rsidRDefault="0082430D" w:rsidP="00BF0B94">
      <w:pPr>
        <w:spacing w:before="100" w:beforeAutospacing="1" w:after="100" w:afterAutospacing="1"/>
        <w:ind w:left="1440"/>
        <w:jc w:val="both"/>
      </w:pPr>
      <w:r w:rsidRPr="00BF0B94">
        <w:t>2) формирование сильной Комиссии по ценным бумагам и фондовому рынку, которая сможет объединить ресурсы государства и частного сек-тора на цели создания рынка ценных бумаг;</w:t>
      </w:r>
    </w:p>
    <w:p w:rsidR="0082430D" w:rsidRPr="00BF0B94" w:rsidRDefault="0082430D" w:rsidP="00BF0B94">
      <w:pPr>
        <w:numPr>
          <w:ilvl w:val="0"/>
          <w:numId w:val="1"/>
        </w:numPr>
        <w:spacing w:before="100" w:beforeAutospacing="1" w:after="100" w:afterAutospacing="1"/>
        <w:jc w:val="both"/>
      </w:pPr>
      <w:r w:rsidRPr="00BF0B94">
        <w:t xml:space="preserve">Проблема защиты инвесторов, которая может быть решена созда-нием государственной или полугосударственной системы защиты инвесторов в ценные бумаги от потерь. </w:t>
      </w:r>
    </w:p>
    <w:p w:rsidR="0082430D" w:rsidRPr="00BF0B94" w:rsidRDefault="0082430D" w:rsidP="00BF0B94">
      <w:pPr>
        <w:numPr>
          <w:ilvl w:val="0"/>
          <w:numId w:val="1"/>
        </w:numPr>
        <w:spacing w:before="100" w:beforeAutospacing="1" w:after="100" w:afterAutospacing="1"/>
        <w:jc w:val="both"/>
      </w:pPr>
      <w:r w:rsidRPr="00BF0B94">
        <w:t xml:space="preserve">Опережающее создание депозитарной и клиринговой сети, агентской сети для регистрации движения ценных бумаг в интересах эмитентов. </w:t>
      </w:r>
    </w:p>
    <w:p w:rsidR="0082430D" w:rsidRPr="00BF0B94" w:rsidRDefault="0082430D" w:rsidP="00BF0B94">
      <w:pPr>
        <w:numPr>
          <w:ilvl w:val="0"/>
          <w:numId w:val="1"/>
        </w:numPr>
        <w:spacing w:before="100" w:beforeAutospacing="1" w:after="100" w:afterAutospacing="1"/>
        <w:jc w:val="both"/>
      </w:pPr>
      <w:r w:rsidRPr="00BF0B94">
        <w:t xml:space="preserve">Реализация принципа открытости </w:t>
      </w:r>
      <w:r w:rsidR="00AD069C" w:rsidRPr="00BF0B94">
        <w:t>информации через расширение объ</w:t>
      </w:r>
      <w:r w:rsidRPr="00BF0B94">
        <w:t>ема публикаций о деятельности эмите</w:t>
      </w:r>
      <w:r w:rsidR="00AD069C" w:rsidRPr="00BF0B94">
        <w:t>нтов ценных бумаг, введение при</w:t>
      </w:r>
      <w:r w:rsidRPr="00BF0B94">
        <w:t>знанной рейтинговой оценки компан</w:t>
      </w:r>
      <w:r w:rsidR="00AD069C" w:rsidRPr="00BF0B94">
        <w:t>ий-эмитентов, развитие сети спе</w:t>
      </w:r>
      <w:r w:rsidRPr="00BF0B94">
        <w:t>циализированных изданий (характеризующих отдельные отрасли как объекты инвестиций), создание общепринятой системы показателей для оценки рынка ценных бумаг и т.п.</w:t>
      </w:r>
    </w:p>
    <w:p w:rsidR="0082430D" w:rsidRPr="00BF0B94" w:rsidRDefault="0082430D" w:rsidP="00BF0B94">
      <w:pPr>
        <w:jc w:val="both"/>
      </w:pPr>
      <w:r w:rsidRPr="00BF0B94">
        <w:t>Основными перспективами развит</w:t>
      </w:r>
      <w:r w:rsidR="00AD069C" w:rsidRPr="00BF0B94">
        <w:t>ия современного рынка ценных бу</w:t>
      </w:r>
      <w:r w:rsidRPr="00BF0B94">
        <w:t>маг на нынешнем этапе являются:</w:t>
      </w:r>
    </w:p>
    <w:p w:rsidR="0082430D" w:rsidRPr="00BF0B94" w:rsidRDefault="0082430D" w:rsidP="00BF0B94">
      <w:pPr>
        <w:jc w:val="both"/>
      </w:pPr>
      <w:r w:rsidRPr="00BF0B94">
        <w:t xml:space="preserve">  концентрация и централизация капиталов; </w:t>
      </w:r>
    </w:p>
    <w:p w:rsidR="0082430D" w:rsidRPr="00BF0B94" w:rsidRDefault="0082430D" w:rsidP="00BF0B94">
      <w:pPr>
        <w:jc w:val="both"/>
      </w:pPr>
      <w:r w:rsidRPr="00BF0B94">
        <w:t xml:space="preserve">  интернационализация и глобализация рынка; </w:t>
      </w:r>
    </w:p>
    <w:p w:rsidR="0082430D" w:rsidRPr="00BF0B94" w:rsidRDefault="0082430D" w:rsidP="00BF0B94">
      <w:pPr>
        <w:jc w:val="both"/>
      </w:pPr>
      <w:r w:rsidRPr="00BF0B94">
        <w:t xml:space="preserve">  повышения уровня организованности и усиление государственного контроля; </w:t>
      </w:r>
    </w:p>
    <w:p w:rsidR="0082430D" w:rsidRPr="00BF0B94" w:rsidRDefault="0082430D" w:rsidP="00BF0B94">
      <w:pPr>
        <w:jc w:val="both"/>
      </w:pPr>
      <w:r w:rsidRPr="00BF0B94">
        <w:t xml:space="preserve">  компьютеризация рынка ценных бумаг; </w:t>
      </w:r>
    </w:p>
    <w:p w:rsidR="0082430D" w:rsidRPr="00BF0B94" w:rsidRDefault="0082430D" w:rsidP="00BF0B94">
      <w:pPr>
        <w:jc w:val="both"/>
      </w:pPr>
      <w:r w:rsidRPr="00BF0B94">
        <w:t xml:space="preserve">  нововведения на рынке; </w:t>
      </w:r>
    </w:p>
    <w:p w:rsidR="0082430D" w:rsidRPr="00BF0B94" w:rsidRDefault="0082430D" w:rsidP="00BF0B94">
      <w:pPr>
        <w:jc w:val="both"/>
      </w:pPr>
      <w:r w:rsidRPr="00BF0B94">
        <w:t xml:space="preserve">  секьюритизация; </w:t>
      </w:r>
    </w:p>
    <w:p w:rsidR="0082430D" w:rsidRPr="00BF0B94" w:rsidRDefault="0082430D" w:rsidP="00BF0B94">
      <w:pPr>
        <w:jc w:val="both"/>
      </w:pPr>
      <w:r w:rsidRPr="00BF0B94">
        <w:t xml:space="preserve">  взаимодействие с другими рынками капиталов. </w:t>
      </w:r>
    </w:p>
    <w:p w:rsidR="0082430D" w:rsidRPr="00BF0B94" w:rsidRDefault="0082430D" w:rsidP="00BF0B94">
      <w:pPr>
        <w:pStyle w:val="a3"/>
        <w:jc w:val="both"/>
      </w:pPr>
      <w:r w:rsidRPr="00BF0B94">
        <w:t xml:space="preserve">Тенденции к концентрации и централизации капиталов имеет два аспекта по отношению к рынку ценных бумаг. С одной стороны, на ры-нок вовлекаются все новые участники, для которых данная деятель-ность становится основной, а с другой идет процесс выделения круп-ных, ведущих профессионалов рынка </w:t>
      </w:r>
      <w:r w:rsidR="00AD069C" w:rsidRPr="00BF0B94">
        <w:t>на основе как увеличение их соб</w:t>
      </w:r>
      <w:r w:rsidRPr="00BF0B94">
        <w:t>ственных капиталов(концентрация капитала), так и путем их слияния в еще более крупные структуры рынк</w:t>
      </w:r>
      <w:r w:rsidR="00AD069C" w:rsidRPr="00BF0B94">
        <w:t>а ценных бумаг(централизация ка</w:t>
      </w:r>
      <w:r w:rsidRPr="00BF0B94">
        <w:t>питала). В результате на фондовом рынке появляются торгов</w:t>
      </w:r>
      <w:r w:rsidR="00AD069C" w:rsidRPr="00BF0B94">
        <w:t>ые систе</w:t>
      </w:r>
      <w:r w:rsidRPr="00BF0B94">
        <w:t xml:space="preserve">мы которые обслуживают крупную долю всех операций на рынке. В тоже время рынок ценных бумаг притягивает все большие капиталы общества. </w:t>
      </w:r>
    </w:p>
    <w:p w:rsidR="0082430D" w:rsidRPr="00BF0B94" w:rsidRDefault="0082430D" w:rsidP="00BF0B94">
      <w:pPr>
        <w:pStyle w:val="a3"/>
        <w:jc w:val="both"/>
      </w:pPr>
      <w:r w:rsidRPr="00BF0B94">
        <w:t>Интернационализация рынка ц</w:t>
      </w:r>
      <w:r w:rsidR="00AD069C" w:rsidRPr="00BF0B94">
        <w:t>енных бумаг означает, что нацио</w:t>
      </w:r>
      <w:r w:rsidRPr="00BF0B94">
        <w:t>нальных капитал переходит границы стран, формируется</w:t>
      </w:r>
      <w:r w:rsidR="00AD069C" w:rsidRPr="00BF0B94">
        <w:t xml:space="preserve"> мировой ры</w:t>
      </w:r>
      <w:r w:rsidRPr="00BF0B94">
        <w:t>нок ценных бумаг, по отношению к которому национальные рынки становятся второстепенными. Рынок</w:t>
      </w:r>
      <w:r w:rsidR="00AD069C" w:rsidRPr="00BF0B94">
        <w:t xml:space="preserve"> ценных бумаг принимает глобаль</w:t>
      </w:r>
      <w:r w:rsidRPr="00BF0B94">
        <w:t>ный характер. Торговля на таком глобальном рынке ведется непрерыв-но. Его основу составляют ценные бумаги транснациона</w:t>
      </w:r>
      <w:r w:rsidR="00AD069C" w:rsidRPr="00BF0B94">
        <w:t>льных компа</w:t>
      </w:r>
      <w:r w:rsidRPr="00BF0B94">
        <w:t xml:space="preserve">ний. </w:t>
      </w:r>
    </w:p>
    <w:p w:rsidR="0082430D" w:rsidRPr="00BF0B94" w:rsidRDefault="0082430D" w:rsidP="00BF0B94">
      <w:pPr>
        <w:pStyle w:val="a3"/>
        <w:jc w:val="both"/>
      </w:pPr>
      <w:r w:rsidRPr="00BF0B94">
        <w:t xml:space="preserve">Надежность рынка ценных бумаг и </w:t>
      </w:r>
      <w:r w:rsidR="00AD069C" w:rsidRPr="00BF0B94">
        <w:t>степень доверия к нему со сторо</w:t>
      </w:r>
      <w:r w:rsidRPr="00BF0B94">
        <w:t>ны массового инвестора напрямую с</w:t>
      </w:r>
      <w:r w:rsidR="00AD069C" w:rsidRPr="00BF0B94">
        <w:t>вязаны с повышением уровня орга</w:t>
      </w:r>
      <w:r w:rsidRPr="00BF0B94">
        <w:t>низованности рынка и усиление государственного контроля за ним. Масштабы и значение рынка ценных бумаг таковы, что его разрушение прямо ведет к разрушению экономического прогресса. Государство должно вернуть доверие к рынку ц</w:t>
      </w:r>
      <w:r w:rsidR="00AD069C" w:rsidRPr="00BF0B94">
        <w:t>енных бумаг, что бы люди вклады</w:t>
      </w:r>
      <w:r w:rsidRPr="00BF0B94">
        <w:t xml:space="preserve">вающие сбережения в ценные бумаги были уверены в том, что они их не потеряют в результате каких-либо действий государства и мошенничества. Все участники рынка поэтому заинтересованы в том, чтобы рынок был правильно организован и жестко контролировался в первую очередь главным участником рынка - государством. </w:t>
      </w:r>
    </w:p>
    <w:p w:rsidR="0082430D" w:rsidRPr="00BF0B94" w:rsidRDefault="0082430D" w:rsidP="00BF0B94">
      <w:pPr>
        <w:pStyle w:val="a3"/>
        <w:jc w:val="both"/>
      </w:pPr>
      <w:r w:rsidRPr="00BF0B94">
        <w:t>Компьютеризация рынка ценных бумаг - результат широчайшего внедрения компьютеров во все обла</w:t>
      </w:r>
      <w:r w:rsidR="00AD069C" w:rsidRPr="00BF0B94">
        <w:t>сти человеческой жизни в послед</w:t>
      </w:r>
      <w:r w:rsidRPr="00BF0B94">
        <w:t>ние десятилетия. Без этой компьютеризации рынок ценных бумаг в своих современных формах и размерах был бы просто невозможен. Компьютеризация позволила совершить революцию как в обслужив</w:t>
      </w:r>
      <w:r w:rsidR="00AD069C" w:rsidRPr="00BF0B94">
        <w:t>а</w:t>
      </w:r>
      <w:r w:rsidRPr="00BF0B94">
        <w:t>нии рыка, прежде всего через сов</w:t>
      </w:r>
      <w:r w:rsidR="00AD069C" w:rsidRPr="00BF0B94">
        <w:t>ременные системы быстродействую</w:t>
      </w:r>
      <w:r w:rsidRPr="00BF0B94">
        <w:t xml:space="preserve">щих и всеохватывающих расчетов для участников и между ними, так и в его способах торговли. Компьютеризация составляет фундамент всех нововведений на рынке ценных бумаг. </w:t>
      </w:r>
    </w:p>
    <w:p w:rsidR="0082430D" w:rsidRPr="00BF0B94" w:rsidRDefault="0082430D" w:rsidP="00BF0B94">
      <w:pPr>
        <w:pStyle w:val="a3"/>
        <w:jc w:val="both"/>
      </w:pPr>
      <w:r w:rsidRPr="00BF0B94">
        <w:t>Нововведения на рынке ценных бумаг:</w:t>
      </w:r>
    </w:p>
    <w:p w:rsidR="0082430D" w:rsidRPr="00BF0B94" w:rsidRDefault="0082430D" w:rsidP="00BF0B94">
      <w:pPr>
        <w:jc w:val="both"/>
      </w:pPr>
      <w:r w:rsidRPr="00BF0B94">
        <w:t xml:space="preserve">  новые инструменты данного рынка; </w:t>
      </w:r>
    </w:p>
    <w:p w:rsidR="0082430D" w:rsidRPr="00BF0B94" w:rsidRDefault="0082430D" w:rsidP="00BF0B94">
      <w:pPr>
        <w:jc w:val="both"/>
      </w:pPr>
      <w:r w:rsidRPr="00BF0B94">
        <w:t xml:space="preserve">  новые системы торговли ценными бумагами; </w:t>
      </w:r>
    </w:p>
    <w:p w:rsidR="0082430D" w:rsidRPr="00BF0B94" w:rsidRDefault="0082430D" w:rsidP="00BF0B94">
      <w:pPr>
        <w:jc w:val="both"/>
      </w:pPr>
      <w:r w:rsidRPr="00BF0B94">
        <w:t xml:space="preserve">  новая инфраструктура рынка. </w:t>
      </w:r>
    </w:p>
    <w:p w:rsidR="0082430D" w:rsidRPr="00BF0B94" w:rsidRDefault="0082430D" w:rsidP="00BF0B94">
      <w:pPr>
        <w:pStyle w:val="a3"/>
        <w:jc w:val="both"/>
      </w:pPr>
      <w:r w:rsidRPr="00BF0B94">
        <w:t>Новыми инструментами рынка це</w:t>
      </w:r>
      <w:r w:rsidR="00AD069C" w:rsidRPr="00BF0B94">
        <w:t>нных бумаг являются, прежде все</w:t>
      </w:r>
      <w:r w:rsidRPr="00BF0B94">
        <w:t xml:space="preserve">го, многочисленные виды производных ценных бумаг, создание новых ценных бумаг, их видов и разновидностей. Новые системы торговли - это системы торговли, основанные на ис-пользовании компьютеров и современных средств связи, позволяющие вести торговлю полностью в автоматическом режиме, без посредников, без непосредственных контрактов между продавцами и покупателями. Новая инфраструктура рынка- это современные информационные системы, системы клиринга и расчетов, депозитарного обслуживания рынка ценных бумаг. </w:t>
      </w:r>
    </w:p>
    <w:p w:rsidR="0082430D" w:rsidRPr="00BF0B94" w:rsidRDefault="0082430D" w:rsidP="00BF0B94">
      <w:pPr>
        <w:pStyle w:val="a3"/>
        <w:jc w:val="both"/>
      </w:pPr>
      <w:r w:rsidRPr="00BF0B94">
        <w:t>Секьюритизация - это тенденция п</w:t>
      </w:r>
      <w:r w:rsidR="00AD069C" w:rsidRPr="00BF0B94">
        <w:t>ерехода денежных средств из сво</w:t>
      </w:r>
      <w:r w:rsidRPr="00BF0B94">
        <w:t xml:space="preserve">их традиционных форм в форму ценных бумаг; тенденция перехода одних форм ценных бумаг в другие, </w:t>
      </w:r>
      <w:r w:rsidR="00AD069C" w:rsidRPr="00BF0B94">
        <w:t>более доступные для широких кру</w:t>
      </w:r>
      <w:r w:rsidRPr="00BF0B94">
        <w:t>гов инвесторов. Развитие рынка ценных бумаг во</w:t>
      </w:r>
      <w:r w:rsidR="00AD069C" w:rsidRPr="00BF0B94">
        <w:t>все не ведет к исчезновению дру</w:t>
      </w:r>
      <w:r w:rsidRPr="00BF0B94">
        <w:t xml:space="preserve">гих рынков капиталов, происходит процесс их взаимопроникновения. С одной стороны, рынок ценных бумаг оттягивает на себя капиталы , но с другой - перемещает эти капиталы через механизм ценных бумаг на другие рынки, тем самым способствует их развитию. </w:t>
      </w:r>
    </w:p>
    <w:p w:rsidR="00BF0B94" w:rsidRDefault="00BF0B94" w:rsidP="00BF0B94">
      <w:pPr>
        <w:pStyle w:val="a3"/>
        <w:jc w:val="both"/>
        <w:rPr>
          <w:b/>
          <w:bCs/>
        </w:rPr>
        <w:sectPr w:rsidR="00BF0B94">
          <w:pgSz w:w="11906" w:h="16838"/>
          <w:pgMar w:top="1134" w:right="850" w:bottom="1134" w:left="1701" w:header="708" w:footer="708" w:gutter="0"/>
          <w:cols w:space="708"/>
          <w:docGrid w:linePitch="360"/>
        </w:sectPr>
      </w:pPr>
    </w:p>
    <w:p w:rsidR="00BF0B94" w:rsidRPr="00BF0B94" w:rsidRDefault="00BF0B94" w:rsidP="00BF0B94">
      <w:pPr>
        <w:pStyle w:val="a3"/>
        <w:jc w:val="both"/>
        <w:outlineLvl w:val="0"/>
        <w:rPr>
          <w:b/>
          <w:bCs/>
          <w:i/>
          <w:sz w:val="28"/>
          <w:szCs w:val="28"/>
        </w:rPr>
      </w:pPr>
      <w:bookmarkStart w:id="4" w:name="_Toc190921659"/>
      <w:r w:rsidRPr="00BF0B94">
        <w:rPr>
          <w:b/>
          <w:i/>
          <w:sz w:val="28"/>
          <w:szCs w:val="28"/>
        </w:rPr>
        <w:t>Траст и клиринг как перспективные операции вторичного рынка</w:t>
      </w:r>
      <w:bookmarkEnd w:id="4"/>
    </w:p>
    <w:p w:rsidR="00B54DC3" w:rsidRPr="00BF0B94" w:rsidRDefault="00B54DC3" w:rsidP="00BF0B94">
      <w:pPr>
        <w:pStyle w:val="a3"/>
        <w:jc w:val="both"/>
      </w:pPr>
      <w:r w:rsidRPr="00BF0B94">
        <w:rPr>
          <w:b/>
          <w:bCs/>
        </w:rPr>
        <w:t>ТРАСТ</w:t>
      </w:r>
      <w:r w:rsidRPr="00BF0B94">
        <w:t xml:space="preserve"> - 1) юридический документ или юридическое действие, предоставляющее юридические функции управления доверительной собственностью одному лицу со стороны другого, доверенность; </w:t>
      </w:r>
    </w:p>
    <w:p w:rsidR="00B54DC3" w:rsidRPr="00BF0B94" w:rsidRDefault="00B54DC3" w:rsidP="00BF0B94">
      <w:pPr>
        <w:pStyle w:val="a3"/>
        <w:jc w:val="both"/>
      </w:pPr>
      <w:r w:rsidRPr="00BF0B94">
        <w:t xml:space="preserve">2) процесс доверительного управления собственностью; </w:t>
      </w:r>
    </w:p>
    <w:p w:rsidR="00B54DC3" w:rsidRPr="00BF0B94" w:rsidRDefault="00B54DC3" w:rsidP="00BF0B94">
      <w:pPr>
        <w:pStyle w:val="a3"/>
        <w:jc w:val="both"/>
      </w:pPr>
      <w:r w:rsidRPr="00BF0B94">
        <w:t>3) институт доверительной собственности, связанный с передачей имущества и своих имущественных прав учредителем траста (бенефициаром) на определенный срок доверительному собственнику</w:t>
      </w:r>
    </w:p>
    <w:p w:rsidR="00B54DC3" w:rsidRPr="00BF0B94" w:rsidRDefault="00B54DC3" w:rsidP="00BF0B94">
      <w:pPr>
        <w:spacing w:before="100" w:beforeAutospacing="1" w:after="100" w:afterAutospacing="1"/>
        <w:ind w:left="75" w:right="75" w:firstLine="300"/>
        <w:jc w:val="both"/>
      </w:pPr>
      <w:r w:rsidRPr="00BF0B94">
        <w:t>Одним из наиболее перспективных направлений развития трастовой деятельности для российской экономики является сотрудничество коммерческих банков с инвестиционными фондами.</w:t>
      </w:r>
    </w:p>
    <w:p w:rsidR="00B54DC3" w:rsidRPr="00BF0B94" w:rsidRDefault="00B54DC3" w:rsidP="00BF0B94">
      <w:pPr>
        <w:spacing w:before="100" w:beforeAutospacing="1" w:after="100" w:afterAutospacing="1"/>
        <w:ind w:left="75" w:right="75" w:firstLine="300"/>
        <w:jc w:val="both"/>
      </w:pPr>
      <w:r w:rsidRPr="00BF0B94">
        <w:t>В современных условиях для индивидуального инвестора, не являющегося профессионалом на фондовом рынке, слишком сложно инвестировать свои сбережения таким образом, чтобы постоянно поддерживать оптимальные пропорции доходности, надежности и ликвидности портфеля приобретенных им ценных бумаг. Поэтому он должен обратиться за помощью в инвестиционный институт. Это позволяет, во-первых, получить необходимые консультации; во- вторых, существует более сложный по сравнению с консультированием вид услуг. Это аккумуляция средств мелких инвесторов и управление этими средствами с последующим вложением в широкий набор ценных бумаг с целью минимизации риска и повышения дохода.</w:t>
      </w:r>
    </w:p>
    <w:p w:rsidR="00B54DC3" w:rsidRPr="00BF0B94" w:rsidRDefault="00B54DC3" w:rsidP="00BF0B94">
      <w:pPr>
        <w:spacing w:before="100" w:beforeAutospacing="1" w:after="100" w:afterAutospacing="1"/>
        <w:ind w:left="75" w:right="75" w:firstLine="300"/>
        <w:jc w:val="both"/>
      </w:pPr>
      <w:r w:rsidRPr="00BF0B94">
        <w:t>Цель деятельности инвестиционных фондов - выпуск акций для мобилизации денежных средств инвесторов и их вложения от имени фонда в ценных бумаги, а также на банковские счета и во вклады. Банк может выступать управляющим инвестиционным фондом или являться депозитарием фонда. Сотрудничество инвестиционных фондом и банков выгодно обеим сторонам. Фонд в случае, если банк является управляющим, получает квалифицированное управление инвестициями, гарантию правильного и эффективного использования средств. Если же банк является депозитарием фонда и ведет обслуживание всех операций, фонд имеет реальную возможность снизить свои издержки, улучшить оперативность обслуживания акционеров. В свою очередь, банк, осуществляя данные операции, получает комиссионное вознаграждение и, управляя портфелем фонда, имеет возможность контролировать деятельность различных фирм.</w:t>
      </w:r>
    </w:p>
    <w:p w:rsidR="00B54DC3" w:rsidRPr="00BF0B94" w:rsidRDefault="00B54DC3" w:rsidP="00BF0B94">
      <w:pPr>
        <w:spacing w:before="100" w:beforeAutospacing="1" w:after="100" w:afterAutospacing="1"/>
        <w:ind w:left="75" w:right="75" w:firstLine="300"/>
        <w:jc w:val="both"/>
      </w:pPr>
      <w:r w:rsidRPr="00BF0B94">
        <w:t>Другим направлением развития трастовых услуг, предоставляемых коммерческими банками, является их сотрудничество с пенсионными фондами, аккумулирующими деньги для выплаты пенсии. Государственный пенсионный фонд создается для реализации пенсионных программ, для выплаты пенсии государственным служащим. Частные фонды создаются компаниями и предназначены для увеличения пенсии работников. Пенсионные фонды все свои временно свободные средства инвестируют в ценные бумаги. При этом они прибегают к помощи траст- отделов коммерческих банков, доверяя им эти средства в управление. Пенсионный фонд РФ был образован в 1990году в целях государственного управления финансами пенсионного обеспечения в РФ.</w:t>
      </w:r>
      <w:r w:rsidRPr="00BF0B94">
        <w:br/>
        <w:t>Поступления в Пенсионный фонд РФ превышают, как правило, выплаты пенсии.</w:t>
      </w:r>
      <w:r w:rsidRPr="00BF0B94">
        <w:br/>
        <w:t>Сумма превышения может быть использована на приобретение ценных бумаг, выдачу кредита и т.п. В этом случае фонду потребуется квалифицированная помощь, которую он может получить в траст-отделе банка.</w:t>
      </w:r>
    </w:p>
    <w:p w:rsidR="00B54DC3" w:rsidRPr="00BF0B94" w:rsidRDefault="00B54DC3" w:rsidP="00BF0B94">
      <w:pPr>
        <w:spacing w:before="100" w:beforeAutospacing="1" w:after="100" w:afterAutospacing="1"/>
        <w:ind w:left="75" w:right="75" w:firstLine="300"/>
        <w:jc w:val="both"/>
      </w:pPr>
      <w:r w:rsidRPr="00BF0B94">
        <w:t>Следующим перспективным направлением в развитии трастовых отношений в РФ является посредническая деятельность по переводу средств с рынка ссудных капиталов в недвижимость, приносящую доход, - так называемый ипотечные инвестиционные трасты.</w:t>
      </w:r>
    </w:p>
    <w:p w:rsidR="00B54DC3" w:rsidRPr="00BF0B94" w:rsidRDefault="00B54DC3" w:rsidP="00BF0B94">
      <w:pPr>
        <w:spacing w:before="100" w:beforeAutospacing="1" w:after="100" w:afterAutospacing="1"/>
        <w:ind w:left="75" w:right="75" w:firstLine="300"/>
        <w:jc w:val="both"/>
      </w:pPr>
      <w:r w:rsidRPr="00BF0B94">
        <w:t>Развитие в России инвестиционной деятельности, связанной с недвижимостью, в значительной мере отстает от уровня развития данной сферы в развитых странах, однако процесс, происходящий в настоящее время в экономике России, позволяет прогнозировать рост активности на рынке инвестиций в недвижимость.</w:t>
      </w:r>
    </w:p>
    <w:p w:rsidR="00B54DC3" w:rsidRPr="00BF0B94" w:rsidRDefault="00B54DC3" w:rsidP="00BF0B94">
      <w:pPr>
        <w:spacing w:before="100" w:beforeAutospacing="1" w:after="100" w:afterAutospacing="1"/>
        <w:ind w:left="75" w:right="75" w:firstLine="300"/>
        <w:jc w:val="both"/>
      </w:pPr>
      <w:r w:rsidRPr="00BF0B94">
        <w:t>Следует отметить также, что в перспективе, банки будут осуществлять управление имуществом по доверенности и завещанию по образу западных стран, а имущество достигнет определенных размеров и будет находиться в частных руках, что позволит квалифицированно распоряжаться, в том числе через посредничество банков.</w:t>
      </w:r>
    </w:p>
    <w:p w:rsidR="007F43B1" w:rsidRPr="00BF0B94" w:rsidRDefault="00B54DC3" w:rsidP="00BF0B94">
      <w:pPr>
        <w:jc w:val="both"/>
      </w:pPr>
      <w:r w:rsidRPr="00BF0B94">
        <w:rPr>
          <w:b/>
          <w:bCs/>
        </w:rPr>
        <w:t>Кли́ринг</w:t>
      </w:r>
      <w:r w:rsidRPr="00BF0B94">
        <w:t xml:space="preserve"> (</w:t>
      </w:r>
      <w:hyperlink r:id="rId9" w:tooltip="Английский язык" w:history="1">
        <w:r w:rsidRPr="00BF0B94">
          <w:rPr>
            <w:rStyle w:val="a7"/>
            <w:color w:val="auto"/>
          </w:rPr>
          <w:t>англ.</w:t>
        </w:r>
      </w:hyperlink>
      <w:r w:rsidRPr="00BF0B94">
        <w:t xml:space="preserve"> </w:t>
      </w:r>
      <w:r w:rsidRPr="00BF0B94">
        <w:rPr>
          <w:i/>
          <w:iCs/>
        </w:rPr>
        <w:t>с</w:t>
      </w:r>
      <w:r w:rsidRPr="00BF0B94">
        <w:rPr>
          <w:i/>
          <w:iCs/>
          <w:lang w:val="en"/>
        </w:rPr>
        <w:t>learing</w:t>
      </w:r>
      <w:r w:rsidRPr="00BF0B94">
        <w:t xml:space="preserve"> — очищать) — безналичные расчёты между </w:t>
      </w:r>
      <w:hyperlink r:id="rId10" w:tooltip="Страна" w:history="1">
        <w:r w:rsidRPr="00BF0B94">
          <w:rPr>
            <w:rStyle w:val="a7"/>
            <w:color w:val="auto"/>
          </w:rPr>
          <w:t>странами</w:t>
        </w:r>
      </w:hyperlink>
      <w:r w:rsidRPr="00BF0B94">
        <w:t xml:space="preserve">, </w:t>
      </w:r>
      <w:hyperlink r:id="rId11" w:tooltip="Компания" w:history="1">
        <w:r w:rsidRPr="00BF0B94">
          <w:rPr>
            <w:rStyle w:val="a7"/>
            <w:color w:val="auto"/>
          </w:rPr>
          <w:t>компаниями</w:t>
        </w:r>
      </w:hyperlink>
      <w:r w:rsidRPr="00BF0B94">
        <w:t xml:space="preserve">, предприятиями за поставленные, проданные друг другу </w:t>
      </w:r>
      <w:hyperlink r:id="rId12" w:tooltip="Товар" w:history="1">
        <w:r w:rsidRPr="00BF0B94">
          <w:rPr>
            <w:rStyle w:val="a7"/>
            <w:color w:val="auto"/>
          </w:rPr>
          <w:t>товары</w:t>
        </w:r>
      </w:hyperlink>
      <w:r w:rsidRPr="00BF0B94">
        <w:t>, ценные бумаги и оказанные услуги, осуществляемые путем взаимного зачета, исходя из условий баланса платежей.</w:t>
      </w:r>
    </w:p>
    <w:p w:rsidR="00B54DC3" w:rsidRPr="00BF0B94" w:rsidRDefault="00B54DC3" w:rsidP="00BF0B94">
      <w:pPr>
        <w:jc w:val="both"/>
      </w:pPr>
      <w:r w:rsidRPr="00BF0B94">
        <w:t>Например, одна сторона поставляет другой хлопок по цене 500 долл. за т, а другая сторона поставляет первой автомобили по цене 5000 долл. за шт. Тогда при поставке одной стороной 200 т хлопка, а другой стороной — 20 машин соблюдается баланс взаимных платежей и денежные расчеты становятся излишними.</w:t>
      </w:r>
    </w:p>
    <w:p w:rsidR="00BF0B94" w:rsidRPr="00BF0B94" w:rsidRDefault="00BF0B94" w:rsidP="00BF0B94">
      <w:pPr>
        <w:jc w:val="both"/>
      </w:pPr>
      <w:r w:rsidRPr="00BF0B94">
        <w:t>Этап клиринга включает в себя:</w:t>
      </w:r>
    </w:p>
    <w:p w:rsidR="00BF0B94" w:rsidRPr="00BF0B94" w:rsidRDefault="00BF0B94" w:rsidP="00BF0B94">
      <w:pPr>
        <w:jc w:val="both"/>
      </w:pPr>
      <w:r w:rsidRPr="00BF0B94">
        <w:t>•          анализ итоговых сверочных документов;</w:t>
      </w:r>
    </w:p>
    <w:p w:rsidR="00BF0B94" w:rsidRPr="00BF0B94" w:rsidRDefault="00BF0B94" w:rsidP="00BF0B94">
      <w:pPr>
        <w:jc w:val="both"/>
      </w:pPr>
      <w:r w:rsidRPr="00BF0B94">
        <w:t>•          вычисление денежных сумм и количества ценных бумаг;</w:t>
      </w:r>
    </w:p>
    <w:p w:rsidR="00BF0B94" w:rsidRPr="00BF0B94" w:rsidRDefault="00BF0B94" w:rsidP="00BF0B94">
      <w:pPr>
        <w:jc w:val="both"/>
      </w:pPr>
      <w:r w:rsidRPr="00BF0B94">
        <w:t>•          оформление расчётных документов.</w:t>
      </w:r>
    </w:p>
    <w:p w:rsidR="00BF0B94" w:rsidRPr="00BF0B94" w:rsidRDefault="00BF0B94" w:rsidP="00BF0B94">
      <w:pPr>
        <w:jc w:val="both"/>
      </w:pPr>
      <w:r w:rsidRPr="00BF0B94">
        <w:t xml:space="preserve">Анализ итоговых сверочных документов – это проверка их на подлинность и правильность оформления. Клиринг начинается с поверки ключей шифрования и защиты принимаемой информации. </w:t>
      </w:r>
    </w:p>
    <w:p w:rsidR="00BF0B94" w:rsidRPr="00BF0B94" w:rsidRDefault="00BF0B94" w:rsidP="00BF0B94">
      <w:pPr>
        <w:jc w:val="both"/>
      </w:pPr>
      <w:r w:rsidRPr="00BF0B94">
        <w:t xml:space="preserve">            Второй процедурой клиринга является вычисление денежных сумм. Помимо суммы платежа непосредственно за купленную ценную бумагу уплате также может подлежать налог по операции с ценными бумагами, биржевые и прочие сборы. Покупатель приобретает право по отношению к продавцу требовать поставки причитающегося количества ценных бумаг и одновременно становится обязанным уплатить соответствующую денежную сумму. Продавец становится  обязанным поставить ценные бумаги и приобретает право требовать причитающуюся ему денежную сумму. Их обязательства будут исполнены и требования удовлетворены только на последнем этапе сделки. Резкое усложнение процедуры клиринга происходит, когда применяется взаимозачёт. Его цель – снизить количество платежей и поставок ценных бумаг по сделкам, хотя это усложняет процедуру клиринга. Для каждого участника клиринга производится калькуляция его собственных чистых требований или чистых обязательств по всем включаемым в расчёт сделкам за установленный период. При этом из всех требований данного участника вычитаются его обязательства, и таким образом определяется чистое сальдо. Полученное сальдо именуют позицией. Позиция «закрыта», если сальдо равно нулю, и «открыто», если сальдо не равно нулю. Если сальдо положительное, т.е. объём требований данного участника превышает его обязательства, значит у него открыта «длинная позиция». Если сальдо отрицательное, т.е. участник клиринга должен больше, чем должны ему, то участника «короткая позиция». </w:t>
      </w:r>
    </w:p>
    <w:p w:rsidR="00BF0B94" w:rsidRPr="00BF0B94" w:rsidRDefault="00BF0B94" w:rsidP="00BF0B94">
      <w:pPr>
        <w:jc w:val="both"/>
      </w:pPr>
      <w:r w:rsidRPr="00BF0B94">
        <w:t>Следующая операция клиринга – это оформление расчётных документов. Они направляются на исполнение в денежную расчётную систему, и систему, обеспечивающую поставку ценных бумаг</w:t>
      </w:r>
    </w:p>
    <w:p w:rsidR="00BF0B94" w:rsidRPr="00BF0B94" w:rsidRDefault="00BF0B94" w:rsidP="00BF0B94">
      <w:pPr>
        <w:jc w:val="both"/>
      </w:pPr>
    </w:p>
    <w:p w:rsidR="00BF0B94" w:rsidRPr="00BF0B94" w:rsidRDefault="00BF0B94" w:rsidP="00BF0B94">
      <w:pPr>
        <w:numPr>
          <w:ilvl w:val="0"/>
          <w:numId w:val="2"/>
        </w:numPr>
        <w:shd w:val="clear" w:color="auto" w:fill="F8FCFF"/>
        <w:spacing w:before="100" w:beforeAutospacing="1" w:after="24" w:line="360" w:lineRule="atLeast"/>
        <w:ind w:left="360"/>
        <w:jc w:val="both"/>
      </w:pPr>
      <w:r w:rsidRPr="00BF0B94">
        <w:t>Виды клиринга:</w:t>
      </w:r>
    </w:p>
    <w:p w:rsidR="00B54DC3" w:rsidRPr="00BF0B94" w:rsidRDefault="00B54DC3" w:rsidP="00BF0B94">
      <w:pPr>
        <w:numPr>
          <w:ilvl w:val="0"/>
          <w:numId w:val="2"/>
        </w:numPr>
        <w:shd w:val="clear" w:color="auto" w:fill="F8FCFF"/>
        <w:spacing w:before="100" w:beforeAutospacing="1" w:after="24" w:line="360" w:lineRule="atLeast"/>
        <w:ind w:left="360"/>
        <w:jc w:val="both"/>
      </w:pPr>
      <w:r w:rsidRPr="00BF0B94">
        <w:t xml:space="preserve">Банковский клиринг представляет собой систему межбанковских безналичных расчетов, осуществляемых через расчётные палаты и основанных на взаимном зачете равных платежей друг другу. </w:t>
      </w:r>
    </w:p>
    <w:p w:rsidR="00B54DC3" w:rsidRPr="00BF0B94" w:rsidRDefault="00B54DC3" w:rsidP="00BF0B94">
      <w:pPr>
        <w:numPr>
          <w:ilvl w:val="0"/>
          <w:numId w:val="3"/>
        </w:numPr>
        <w:shd w:val="clear" w:color="auto" w:fill="F8FCFF"/>
        <w:spacing w:before="100" w:beforeAutospacing="1" w:after="24" w:line="360" w:lineRule="atLeast"/>
        <w:ind w:left="360"/>
        <w:jc w:val="both"/>
      </w:pPr>
      <w:r w:rsidRPr="00BF0B94">
        <w:t xml:space="preserve">Валютный клиринг представляет порядок проведения международных расчетов между странами, основанный на взаимном зачете платежей за товары и услуги, обладающие равной стоимостью, исчисленной в так называемой клиринговой валюте по согласованным ценам. </w:t>
      </w:r>
    </w:p>
    <w:p w:rsidR="00B54DC3" w:rsidRPr="00BF0B94" w:rsidRDefault="00B54DC3" w:rsidP="00BF0B94">
      <w:pPr>
        <w:numPr>
          <w:ilvl w:val="0"/>
          <w:numId w:val="4"/>
        </w:numPr>
        <w:shd w:val="clear" w:color="auto" w:fill="F8FCFF"/>
        <w:spacing w:before="100" w:beforeAutospacing="1" w:after="24" w:line="360" w:lineRule="atLeast"/>
        <w:ind w:left="360"/>
        <w:jc w:val="both"/>
      </w:pPr>
      <w:r w:rsidRPr="00BF0B94">
        <w:t xml:space="preserve">Простой клиринг — определение обязательств каждого участника клиринга и расчеты по ценным бумагам и денежным средствам по </w:t>
      </w:r>
      <w:r w:rsidRPr="00BF0B94">
        <w:rPr>
          <w:b/>
          <w:bCs/>
        </w:rPr>
        <w:t>каждой</w:t>
      </w:r>
      <w:r w:rsidRPr="00BF0B94">
        <w:t xml:space="preserve"> совершенной участником клиринга сделке клирингового пула. </w:t>
      </w:r>
    </w:p>
    <w:p w:rsidR="00B54DC3" w:rsidRPr="00BF0B94" w:rsidRDefault="00B54DC3" w:rsidP="00BF0B94">
      <w:pPr>
        <w:numPr>
          <w:ilvl w:val="0"/>
          <w:numId w:val="5"/>
        </w:numPr>
        <w:shd w:val="clear" w:color="auto" w:fill="F8FCFF"/>
        <w:spacing w:before="100" w:beforeAutospacing="1" w:after="24" w:line="360" w:lineRule="atLeast"/>
        <w:ind w:left="360"/>
        <w:jc w:val="both"/>
      </w:pPr>
      <w:r w:rsidRPr="00BF0B94">
        <w:t xml:space="preserve">Многосторонний клиринг — определение обязательств каждого участника клиринга и расчеты по ценным бумагам и денежным средствам по </w:t>
      </w:r>
      <w:r w:rsidRPr="00BF0B94">
        <w:rPr>
          <w:b/>
          <w:bCs/>
        </w:rPr>
        <w:t>всем</w:t>
      </w:r>
      <w:r w:rsidRPr="00BF0B94">
        <w:t xml:space="preserve"> совершенным участником клиринга сделкам клирингового пула</w:t>
      </w:r>
    </w:p>
    <w:p w:rsidR="00BF0B94" w:rsidRPr="00BF0B94" w:rsidRDefault="00BF0B94" w:rsidP="00BF0B94">
      <w:pPr>
        <w:jc w:val="both"/>
        <w:sectPr w:rsidR="00BF0B94" w:rsidRPr="00BF0B94">
          <w:pgSz w:w="11906" w:h="16838"/>
          <w:pgMar w:top="1134" w:right="850" w:bottom="1134" w:left="1701" w:header="708" w:footer="708" w:gutter="0"/>
          <w:cols w:space="708"/>
          <w:docGrid w:linePitch="360"/>
        </w:sectPr>
      </w:pPr>
    </w:p>
    <w:p w:rsidR="00B54DC3" w:rsidRPr="00BF0B94" w:rsidRDefault="00BF0B94" w:rsidP="00BF0B94">
      <w:pPr>
        <w:jc w:val="both"/>
      </w:pPr>
      <w:r w:rsidRPr="00BF0B94">
        <w:t>Список использованной литературы:</w:t>
      </w:r>
    </w:p>
    <w:p w:rsidR="00BF0B94" w:rsidRPr="00BF0B94" w:rsidRDefault="00C276A4" w:rsidP="00BF0B94">
      <w:pPr>
        <w:numPr>
          <w:ilvl w:val="0"/>
          <w:numId w:val="6"/>
        </w:numPr>
        <w:jc w:val="both"/>
      </w:pPr>
      <w:hyperlink r:id="rId13" w:history="1">
        <w:r w:rsidR="00BF0B94" w:rsidRPr="00BF0B94">
          <w:rPr>
            <w:rStyle w:val="a7"/>
            <w:color w:val="auto"/>
          </w:rPr>
          <w:t>http://ru.wikipedia.org</w:t>
        </w:r>
      </w:hyperlink>
    </w:p>
    <w:p w:rsidR="00BF0B94" w:rsidRPr="00BF0B94" w:rsidRDefault="00C276A4" w:rsidP="00BF0B94">
      <w:pPr>
        <w:numPr>
          <w:ilvl w:val="0"/>
          <w:numId w:val="6"/>
        </w:numPr>
        <w:jc w:val="both"/>
      </w:pPr>
      <w:hyperlink r:id="rId14" w:history="1">
        <w:r w:rsidR="00BF0B94" w:rsidRPr="00BF0B94">
          <w:rPr>
            <w:rStyle w:val="a7"/>
          </w:rPr>
          <w:t>http://a-nomalia.narod.ru/finance-3/index.htm</w:t>
        </w:r>
      </w:hyperlink>
    </w:p>
    <w:p w:rsidR="00BF0B94" w:rsidRPr="00BF0B94" w:rsidRDefault="00BF0B94" w:rsidP="00BF0B94">
      <w:pPr>
        <w:numPr>
          <w:ilvl w:val="0"/>
          <w:numId w:val="6"/>
        </w:numPr>
        <w:jc w:val="both"/>
      </w:pPr>
      <w:r w:rsidRPr="00BF0B94">
        <w:t>Бердникова Т.Б Рынок ценных бумаг и биржевое дело. - М.:ИНФРА-М, 2000</w:t>
      </w:r>
      <w:bookmarkStart w:id="5" w:name="_GoBack"/>
      <w:bookmarkEnd w:id="5"/>
    </w:p>
    <w:sectPr w:rsidR="00BF0B94" w:rsidRPr="00BF0B9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591" w:rsidRDefault="004B0591">
      <w:r>
        <w:separator/>
      </w:r>
    </w:p>
  </w:endnote>
  <w:endnote w:type="continuationSeparator" w:id="0">
    <w:p w:rsidR="004B0591" w:rsidRDefault="004B0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30D" w:rsidRDefault="0082430D" w:rsidP="004B059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2430D" w:rsidRDefault="0082430D" w:rsidP="0082430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30D" w:rsidRDefault="0082430D" w:rsidP="004B059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423059">
      <w:rPr>
        <w:rStyle w:val="a6"/>
        <w:noProof/>
      </w:rPr>
      <w:t>1</w:t>
    </w:r>
    <w:r>
      <w:rPr>
        <w:rStyle w:val="a6"/>
      </w:rPr>
      <w:fldChar w:fldCharType="end"/>
    </w:r>
  </w:p>
  <w:p w:rsidR="0082430D" w:rsidRDefault="0082430D" w:rsidP="0082430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591" w:rsidRDefault="004B0591">
      <w:r>
        <w:separator/>
      </w:r>
    </w:p>
  </w:footnote>
  <w:footnote w:type="continuationSeparator" w:id="0">
    <w:p w:rsidR="004B0591" w:rsidRDefault="004B05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3in;height:3in" o:bullet="t"/>
    </w:pict>
  </w:numPicBullet>
  <w:numPicBullet w:numPicBulletId="1">
    <w:pict>
      <v:shape id="_x0000_i1051" type="#_x0000_t75" style="width:3in;height:3in" o:bullet="t"/>
    </w:pict>
  </w:numPicBullet>
  <w:numPicBullet w:numPicBulletId="2">
    <w:pict>
      <v:shape id="_x0000_i1052" type="#_x0000_t75" style="width:3in;height:3in" o:bullet="t"/>
    </w:pict>
  </w:numPicBullet>
  <w:numPicBullet w:numPicBulletId="3">
    <w:pict>
      <v:shape id="_x0000_i1053" type="#_x0000_t75" style="width:3in;height:3in" o:bullet="t"/>
    </w:pict>
  </w:numPicBullet>
  <w:numPicBullet w:numPicBulletId="4">
    <w:pict>
      <v:shape id="_x0000_i1054" type="#_x0000_t75" style="width:3in;height:3in" o:bullet="t"/>
    </w:pict>
  </w:numPicBullet>
  <w:numPicBullet w:numPicBulletId="5">
    <w:pict>
      <v:shape id="_x0000_i1055" type="#_x0000_t75" style="width:3in;height:3in" o:bullet="t"/>
    </w:pict>
  </w:numPicBullet>
  <w:numPicBullet w:numPicBulletId="6">
    <w:pict>
      <v:shape id="_x0000_i1056" type="#_x0000_t75" style="width:3in;height:3in" o:bullet="t"/>
    </w:pict>
  </w:numPicBullet>
  <w:numPicBullet w:numPicBulletId="7">
    <w:pict>
      <v:shape id="_x0000_i1057" type="#_x0000_t75" style="width:3in;height:3in" o:bullet="t"/>
    </w:pict>
  </w:numPicBullet>
  <w:numPicBullet w:numPicBulletId="8">
    <w:pict>
      <v:shape id="_x0000_i1058" type="#_x0000_t75" style="width:3in;height:3in" o:bullet="t"/>
    </w:pict>
  </w:numPicBullet>
  <w:numPicBullet w:numPicBulletId="9">
    <w:pict>
      <v:shape id="_x0000_i1059" type="#_x0000_t75" style="width:3in;height:3in" o:bullet="t"/>
    </w:pict>
  </w:numPicBullet>
  <w:numPicBullet w:numPicBulletId="10">
    <w:pict>
      <v:shape id="_x0000_i1060" type="#_x0000_t75" style="width:3in;height:3in" o:bullet="t"/>
    </w:pict>
  </w:numPicBullet>
  <w:numPicBullet w:numPicBulletId="11">
    <w:pict>
      <v:shape id="_x0000_i1061" type="#_x0000_t75" style="width:3in;height:3in" o:bullet="t"/>
    </w:pict>
  </w:numPicBullet>
  <w:numPicBullet w:numPicBulletId="12">
    <w:pict>
      <v:shape id="_x0000_i1062" type="#_x0000_t75" style="width:3in;height:3in" o:bullet="t"/>
    </w:pict>
  </w:numPicBullet>
  <w:numPicBullet w:numPicBulletId="13">
    <w:pict>
      <v:shape id="_x0000_i1063" type="#_x0000_t75" style="width:3in;height:3in" o:bullet="t"/>
    </w:pict>
  </w:numPicBullet>
  <w:numPicBullet w:numPicBulletId="14">
    <w:pict>
      <v:shape id="_x0000_i1064" type="#_x0000_t75" style="width:3in;height:3in" o:bullet="t"/>
    </w:pict>
  </w:numPicBullet>
  <w:numPicBullet w:numPicBulletId="15">
    <w:pict>
      <v:shape id="_x0000_i1065" type="#_x0000_t75" style="width:3in;height:3in" o:bullet="t"/>
    </w:pict>
  </w:numPicBullet>
  <w:numPicBullet w:numPicBulletId="16">
    <w:pict>
      <v:shape id="_x0000_i1066" type="#_x0000_t75" style="width:3in;height:3in" o:bullet="t"/>
    </w:pict>
  </w:numPicBullet>
  <w:numPicBullet w:numPicBulletId="17">
    <w:pict>
      <v:shape id="_x0000_i1067" type="#_x0000_t75" style="width:3in;height:3in" o:bullet="t"/>
    </w:pict>
  </w:numPicBullet>
  <w:numPicBullet w:numPicBulletId="18">
    <w:pict>
      <v:shape id="_x0000_i1068" type="#_x0000_t75" style="width:3in;height:3in" o:bullet="t"/>
    </w:pict>
  </w:numPicBullet>
  <w:numPicBullet w:numPicBulletId="19">
    <w:pict>
      <v:shape id="_x0000_i1069" type="#_x0000_t75" style="width:3in;height:3in" o:bullet="t"/>
    </w:pict>
  </w:numPicBullet>
  <w:numPicBullet w:numPicBulletId="20">
    <w:pict>
      <v:shape id="_x0000_i1070" type="#_x0000_t75" style="width:3in;height:3in" o:bullet="t"/>
    </w:pict>
  </w:numPicBullet>
  <w:numPicBullet w:numPicBulletId="21">
    <w:pict>
      <v:shape id="_x0000_i1071" type="#_x0000_t75" style="width:3in;height:3in" o:bullet="t"/>
    </w:pict>
  </w:numPicBullet>
  <w:numPicBullet w:numPicBulletId="22">
    <w:pict>
      <v:shape id="_x0000_i1072" type="#_x0000_t75" style="width:3in;height:3in" o:bullet="t"/>
    </w:pict>
  </w:numPicBullet>
  <w:numPicBullet w:numPicBulletId="23">
    <w:pict>
      <v:shape id="_x0000_i1073" type="#_x0000_t75" style="width:3in;height:3in" o:bullet="t"/>
    </w:pict>
  </w:numPicBullet>
  <w:abstractNum w:abstractNumId="0">
    <w:nsid w:val="04A131DA"/>
    <w:multiLevelType w:val="multilevel"/>
    <w:tmpl w:val="7B2CE9EA"/>
    <w:lvl w:ilvl="0">
      <w:start w:val="1"/>
      <w:numFmt w:val="bullet"/>
      <w:lvlText w:val=""/>
      <w:lvlPicBulletId w:val="12"/>
      <w:lvlJc w:val="left"/>
      <w:pPr>
        <w:tabs>
          <w:tab w:val="num" w:pos="720"/>
        </w:tabs>
        <w:ind w:left="720" w:hanging="360"/>
      </w:pPr>
      <w:rPr>
        <w:rFonts w:ascii="Wingdings" w:hAnsi="Wingdings" w:hint="default"/>
        <w:sz w:val="20"/>
      </w:rPr>
    </w:lvl>
    <w:lvl w:ilvl="1" w:tentative="1">
      <w:start w:val="1"/>
      <w:numFmt w:val="bullet"/>
      <w:lvlText w:val=""/>
      <w:lvlPicBulletId w:val="13"/>
      <w:lvlJc w:val="left"/>
      <w:pPr>
        <w:tabs>
          <w:tab w:val="num" w:pos="1440"/>
        </w:tabs>
        <w:ind w:left="1440" w:hanging="360"/>
      </w:pPr>
      <w:rPr>
        <w:rFonts w:ascii="Wingdings" w:hAnsi="Wingdings" w:hint="default"/>
        <w:sz w:val="20"/>
      </w:rPr>
    </w:lvl>
    <w:lvl w:ilvl="2" w:tentative="1">
      <w:start w:val="1"/>
      <w:numFmt w:val="bullet"/>
      <w:lvlText w:val=""/>
      <w:lvlPicBulletId w:val="1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861A44"/>
    <w:multiLevelType w:val="multilevel"/>
    <w:tmpl w:val="A5A2C1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519635B"/>
    <w:multiLevelType w:val="multilevel"/>
    <w:tmpl w:val="C9101A4C"/>
    <w:lvl w:ilvl="0">
      <w:start w:val="1"/>
      <w:numFmt w:val="bullet"/>
      <w:lvlText w:val=""/>
      <w:lvlPicBulletId w:val="15"/>
      <w:lvlJc w:val="left"/>
      <w:pPr>
        <w:tabs>
          <w:tab w:val="num" w:pos="720"/>
        </w:tabs>
        <w:ind w:left="720" w:hanging="360"/>
      </w:pPr>
      <w:rPr>
        <w:rFonts w:ascii="Wingdings" w:hAnsi="Wingdings" w:hint="default"/>
        <w:sz w:val="20"/>
      </w:rPr>
    </w:lvl>
    <w:lvl w:ilvl="1" w:tentative="1">
      <w:start w:val="1"/>
      <w:numFmt w:val="bullet"/>
      <w:lvlText w:val=""/>
      <w:lvlPicBulletId w:val="16"/>
      <w:lvlJc w:val="left"/>
      <w:pPr>
        <w:tabs>
          <w:tab w:val="num" w:pos="1440"/>
        </w:tabs>
        <w:ind w:left="1440" w:hanging="360"/>
      </w:pPr>
      <w:rPr>
        <w:rFonts w:ascii="Wingdings" w:hAnsi="Wingdings" w:hint="default"/>
        <w:sz w:val="20"/>
      </w:rPr>
    </w:lvl>
    <w:lvl w:ilvl="2" w:tentative="1">
      <w:start w:val="1"/>
      <w:numFmt w:val="bullet"/>
      <w:lvlText w:val=""/>
      <w:lvlPicBulletId w:val="1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4D2F92"/>
    <w:multiLevelType w:val="multilevel"/>
    <w:tmpl w:val="4D8432F8"/>
    <w:lvl w:ilvl="0">
      <w:start w:val="1"/>
      <w:numFmt w:val="bullet"/>
      <w:lvlText w:val=""/>
      <w:lvlPicBulletId w:val="18"/>
      <w:lvlJc w:val="left"/>
      <w:pPr>
        <w:tabs>
          <w:tab w:val="num" w:pos="720"/>
        </w:tabs>
        <w:ind w:left="720" w:hanging="360"/>
      </w:pPr>
      <w:rPr>
        <w:rFonts w:ascii="Wingdings" w:hAnsi="Wingdings" w:hint="default"/>
        <w:sz w:val="20"/>
      </w:rPr>
    </w:lvl>
    <w:lvl w:ilvl="1" w:tentative="1">
      <w:start w:val="1"/>
      <w:numFmt w:val="bullet"/>
      <w:lvlText w:val=""/>
      <w:lvlPicBulletId w:val="19"/>
      <w:lvlJc w:val="left"/>
      <w:pPr>
        <w:tabs>
          <w:tab w:val="num" w:pos="1440"/>
        </w:tabs>
        <w:ind w:left="1440" w:hanging="360"/>
      </w:pPr>
      <w:rPr>
        <w:rFonts w:ascii="Wingdings" w:hAnsi="Wingdings" w:hint="default"/>
        <w:sz w:val="20"/>
      </w:rPr>
    </w:lvl>
    <w:lvl w:ilvl="2" w:tentative="1">
      <w:start w:val="1"/>
      <w:numFmt w:val="bullet"/>
      <w:lvlText w:val=""/>
      <w:lvlPicBulletId w:val="2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B837986"/>
    <w:multiLevelType w:val="multilevel"/>
    <w:tmpl w:val="C8FCFDF0"/>
    <w:lvl w:ilvl="0">
      <w:start w:val="1"/>
      <w:numFmt w:val="bullet"/>
      <w:lvlText w:val=""/>
      <w:lvlPicBulletId w:val="21"/>
      <w:lvlJc w:val="left"/>
      <w:pPr>
        <w:tabs>
          <w:tab w:val="num" w:pos="720"/>
        </w:tabs>
        <w:ind w:left="720" w:hanging="360"/>
      </w:pPr>
      <w:rPr>
        <w:rFonts w:ascii="Wingdings" w:hAnsi="Wingdings" w:hint="default"/>
        <w:sz w:val="20"/>
      </w:rPr>
    </w:lvl>
    <w:lvl w:ilvl="1" w:tentative="1">
      <w:start w:val="1"/>
      <w:numFmt w:val="bullet"/>
      <w:lvlText w:val=""/>
      <w:lvlPicBulletId w:val="22"/>
      <w:lvlJc w:val="left"/>
      <w:pPr>
        <w:tabs>
          <w:tab w:val="num" w:pos="1440"/>
        </w:tabs>
        <w:ind w:left="1440" w:hanging="360"/>
      </w:pPr>
      <w:rPr>
        <w:rFonts w:ascii="Wingdings" w:hAnsi="Wingdings" w:hint="default"/>
        <w:sz w:val="20"/>
      </w:rPr>
    </w:lvl>
    <w:lvl w:ilvl="2" w:tentative="1">
      <w:start w:val="1"/>
      <w:numFmt w:val="bullet"/>
      <w:lvlText w:val=""/>
      <w:lvlPicBulletId w:val="2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20821F5"/>
    <w:multiLevelType w:val="hybridMultilevel"/>
    <w:tmpl w:val="E61C5A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53E3"/>
    <w:rsid w:val="000557BD"/>
    <w:rsid w:val="0010422E"/>
    <w:rsid w:val="004153E3"/>
    <w:rsid w:val="00423059"/>
    <w:rsid w:val="004B0591"/>
    <w:rsid w:val="007F43B1"/>
    <w:rsid w:val="0082430D"/>
    <w:rsid w:val="00AD069C"/>
    <w:rsid w:val="00AD1A35"/>
    <w:rsid w:val="00B54DC3"/>
    <w:rsid w:val="00BF0B94"/>
    <w:rsid w:val="00C276A4"/>
    <w:rsid w:val="00DF1577"/>
    <w:rsid w:val="00F217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15:chartTrackingRefBased/>
  <w15:docId w15:val="{507D21FE-7073-4AA7-BBAA-ADA8C135E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82430D"/>
    <w:pPr>
      <w:spacing w:before="100" w:beforeAutospacing="1" w:after="100" w:afterAutospacing="1"/>
      <w:jc w:val="center"/>
      <w:outlineLvl w:val="0"/>
    </w:pPr>
    <w:rPr>
      <w:rFonts w:ascii="Verdana" w:hAnsi="Verdana"/>
      <w:b/>
      <w:bCs/>
      <w:color w:val="333300"/>
      <w:kern w:val="36"/>
      <w:sz w:val="45"/>
      <w:szCs w:val="45"/>
    </w:rPr>
  </w:style>
  <w:style w:type="paragraph" w:styleId="2">
    <w:name w:val="heading 2"/>
    <w:basedOn w:val="a"/>
    <w:qFormat/>
    <w:rsid w:val="0082430D"/>
    <w:pPr>
      <w:spacing w:before="100" w:beforeAutospacing="1" w:after="100" w:afterAutospacing="1"/>
      <w:outlineLvl w:val="1"/>
    </w:pPr>
    <w:rPr>
      <w:b/>
      <w:bCs/>
      <w:sz w:val="36"/>
      <w:szCs w:val="36"/>
    </w:rPr>
  </w:style>
  <w:style w:type="paragraph" w:styleId="3">
    <w:name w:val="heading 3"/>
    <w:basedOn w:val="a"/>
    <w:next w:val="a"/>
    <w:qFormat/>
    <w:rsid w:val="00AD069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153E3"/>
    <w:pPr>
      <w:spacing w:before="100" w:beforeAutospacing="1" w:after="100" w:afterAutospacing="1"/>
    </w:pPr>
  </w:style>
  <w:style w:type="character" w:styleId="a4">
    <w:name w:val="Strong"/>
    <w:basedOn w:val="a0"/>
    <w:qFormat/>
    <w:rsid w:val="004153E3"/>
    <w:rPr>
      <w:b/>
      <w:bCs/>
    </w:rPr>
  </w:style>
  <w:style w:type="paragraph" w:styleId="a5">
    <w:name w:val="footer"/>
    <w:basedOn w:val="a"/>
    <w:rsid w:val="0082430D"/>
    <w:pPr>
      <w:tabs>
        <w:tab w:val="center" w:pos="4677"/>
        <w:tab w:val="right" w:pos="9355"/>
      </w:tabs>
    </w:pPr>
  </w:style>
  <w:style w:type="character" w:styleId="a6">
    <w:name w:val="page number"/>
    <w:basedOn w:val="a0"/>
    <w:rsid w:val="0082430D"/>
  </w:style>
  <w:style w:type="character" w:styleId="a7">
    <w:name w:val="Hyperlink"/>
    <w:basedOn w:val="a0"/>
    <w:rsid w:val="0082430D"/>
    <w:rPr>
      <w:color w:val="0000FF"/>
      <w:u w:val="single"/>
    </w:rPr>
  </w:style>
  <w:style w:type="paragraph" w:styleId="30">
    <w:name w:val="toc 3"/>
    <w:basedOn w:val="a"/>
    <w:next w:val="a"/>
    <w:autoRedefine/>
    <w:semiHidden/>
    <w:rsid w:val="00AD069C"/>
    <w:pPr>
      <w:ind w:left="480"/>
    </w:pPr>
  </w:style>
  <w:style w:type="paragraph" w:styleId="10">
    <w:name w:val="toc 1"/>
    <w:basedOn w:val="a"/>
    <w:next w:val="a"/>
    <w:autoRedefine/>
    <w:semiHidden/>
    <w:rsid w:val="00AD069C"/>
  </w:style>
  <w:style w:type="paragraph" w:styleId="20">
    <w:name w:val="toc 2"/>
    <w:basedOn w:val="a"/>
    <w:next w:val="a"/>
    <w:autoRedefine/>
    <w:semiHidden/>
    <w:rsid w:val="00AD069C"/>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944533">
      <w:bodyDiv w:val="1"/>
      <w:marLeft w:val="0"/>
      <w:marRight w:val="0"/>
      <w:marTop w:val="0"/>
      <w:marBottom w:val="0"/>
      <w:divBdr>
        <w:top w:val="none" w:sz="0" w:space="0" w:color="auto"/>
        <w:left w:val="none" w:sz="0" w:space="0" w:color="auto"/>
        <w:bottom w:val="none" w:sz="0" w:space="0" w:color="auto"/>
        <w:right w:val="none" w:sz="0" w:space="0" w:color="auto"/>
      </w:divBdr>
    </w:div>
    <w:div w:id="738594342">
      <w:bodyDiv w:val="1"/>
      <w:marLeft w:val="0"/>
      <w:marRight w:val="0"/>
      <w:marTop w:val="0"/>
      <w:marBottom w:val="0"/>
      <w:divBdr>
        <w:top w:val="none" w:sz="0" w:space="0" w:color="auto"/>
        <w:left w:val="none" w:sz="0" w:space="0" w:color="auto"/>
        <w:bottom w:val="none" w:sz="0" w:space="0" w:color="auto"/>
        <w:right w:val="none" w:sz="0" w:space="0" w:color="auto"/>
      </w:divBdr>
      <w:divsChild>
        <w:div w:id="2125535281">
          <w:marLeft w:val="0"/>
          <w:marRight w:val="0"/>
          <w:marTop w:val="0"/>
          <w:marBottom w:val="0"/>
          <w:divBdr>
            <w:top w:val="none" w:sz="0" w:space="0" w:color="auto"/>
            <w:left w:val="none" w:sz="0" w:space="0" w:color="auto"/>
            <w:bottom w:val="none" w:sz="0" w:space="0" w:color="auto"/>
            <w:right w:val="none" w:sz="0" w:space="0" w:color="auto"/>
          </w:divBdr>
          <w:divsChild>
            <w:div w:id="3826925">
              <w:marLeft w:val="0"/>
              <w:marRight w:val="0"/>
              <w:marTop w:val="0"/>
              <w:marBottom w:val="0"/>
              <w:divBdr>
                <w:top w:val="none" w:sz="0" w:space="0" w:color="auto"/>
                <w:left w:val="none" w:sz="0" w:space="0" w:color="auto"/>
                <w:bottom w:val="none" w:sz="0" w:space="0" w:color="auto"/>
                <w:right w:val="none" w:sz="0" w:space="0" w:color="auto"/>
              </w:divBdr>
              <w:divsChild>
                <w:div w:id="1084647898">
                  <w:marLeft w:val="0"/>
                  <w:marRight w:val="0"/>
                  <w:marTop w:val="0"/>
                  <w:marBottom w:val="0"/>
                  <w:divBdr>
                    <w:top w:val="none" w:sz="0" w:space="0" w:color="auto"/>
                    <w:left w:val="none" w:sz="0" w:space="0" w:color="auto"/>
                    <w:bottom w:val="none" w:sz="0" w:space="0" w:color="auto"/>
                    <w:right w:val="none" w:sz="0" w:space="0" w:color="auto"/>
                  </w:divBdr>
                  <w:divsChild>
                    <w:div w:id="583683986">
                      <w:marLeft w:val="0"/>
                      <w:marRight w:val="0"/>
                      <w:marTop w:val="0"/>
                      <w:marBottom w:val="0"/>
                      <w:divBdr>
                        <w:top w:val="none" w:sz="0" w:space="0" w:color="auto"/>
                        <w:left w:val="none" w:sz="0" w:space="0" w:color="auto"/>
                        <w:bottom w:val="none" w:sz="0" w:space="0" w:color="auto"/>
                        <w:right w:val="none" w:sz="0" w:space="0" w:color="auto"/>
                      </w:divBdr>
                      <w:divsChild>
                        <w:div w:id="1605653424">
                          <w:marLeft w:val="0"/>
                          <w:marRight w:val="0"/>
                          <w:marTop w:val="0"/>
                          <w:marBottom w:val="0"/>
                          <w:divBdr>
                            <w:top w:val="none" w:sz="0" w:space="0" w:color="auto"/>
                            <w:left w:val="none" w:sz="0" w:space="0" w:color="auto"/>
                            <w:bottom w:val="none" w:sz="0" w:space="0" w:color="auto"/>
                            <w:right w:val="none" w:sz="0" w:space="0" w:color="auto"/>
                          </w:divBdr>
                          <w:divsChild>
                            <w:div w:id="86320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5953993">
      <w:bodyDiv w:val="1"/>
      <w:marLeft w:val="0"/>
      <w:marRight w:val="0"/>
      <w:marTop w:val="0"/>
      <w:marBottom w:val="0"/>
      <w:divBdr>
        <w:top w:val="none" w:sz="0" w:space="0" w:color="auto"/>
        <w:left w:val="none" w:sz="0" w:space="0" w:color="auto"/>
        <w:bottom w:val="none" w:sz="0" w:space="0" w:color="auto"/>
        <w:right w:val="none" w:sz="0" w:space="0" w:color="auto"/>
      </w:divBdr>
      <w:divsChild>
        <w:div w:id="1748183745">
          <w:marLeft w:val="0"/>
          <w:marRight w:val="0"/>
          <w:marTop w:val="0"/>
          <w:marBottom w:val="0"/>
          <w:divBdr>
            <w:top w:val="none" w:sz="0" w:space="0" w:color="auto"/>
            <w:left w:val="none" w:sz="0" w:space="0" w:color="auto"/>
            <w:bottom w:val="none" w:sz="0" w:space="0" w:color="auto"/>
            <w:right w:val="none" w:sz="0" w:space="0" w:color="auto"/>
          </w:divBdr>
          <w:divsChild>
            <w:div w:id="1410233852">
              <w:marLeft w:val="-2928"/>
              <w:marRight w:val="0"/>
              <w:marTop w:val="0"/>
              <w:marBottom w:val="144"/>
              <w:divBdr>
                <w:top w:val="none" w:sz="0" w:space="0" w:color="auto"/>
                <w:left w:val="none" w:sz="0" w:space="0" w:color="auto"/>
                <w:bottom w:val="none" w:sz="0" w:space="0" w:color="auto"/>
                <w:right w:val="none" w:sz="0" w:space="0" w:color="auto"/>
              </w:divBdr>
              <w:divsChild>
                <w:div w:id="111946774">
                  <w:marLeft w:val="2928"/>
                  <w:marRight w:val="0"/>
                  <w:marTop w:val="720"/>
                  <w:marBottom w:val="0"/>
                  <w:divBdr>
                    <w:top w:val="single" w:sz="8" w:space="0" w:color="AAAAAA"/>
                    <w:left w:val="single" w:sz="8" w:space="0" w:color="AAAAAA"/>
                    <w:bottom w:val="single" w:sz="8" w:space="0" w:color="AAAAAA"/>
                    <w:right w:val="none" w:sz="0" w:space="0" w:color="auto"/>
                  </w:divBdr>
                  <w:divsChild>
                    <w:div w:id="193763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9513943">
      <w:bodyDiv w:val="1"/>
      <w:marLeft w:val="0"/>
      <w:marRight w:val="0"/>
      <w:marTop w:val="0"/>
      <w:marBottom w:val="0"/>
      <w:divBdr>
        <w:top w:val="none" w:sz="0" w:space="0" w:color="auto"/>
        <w:left w:val="none" w:sz="0" w:space="0" w:color="auto"/>
        <w:bottom w:val="none" w:sz="0" w:space="0" w:color="auto"/>
        <w:right w:val="none" w:sz="0" w:space="0" w:color="auto"/>
      </w:divBdr>
    </w:div>
    <w:div w:id="1429155024">
      <w:bodyDiv w:val="1"/>
      <w:marLeft w:val="0"/>
      <w:marRight w:val="0"/>
      <w:marTop w:val="0"/>
      <w:marBottom w:val="0"/>
      <w:divBdr>
        <w:top w:val="none" w:sz="0" w:space="0" w:color="auto"/>
        <w:left w:val="none" w:sz="0" w:space="0" w:color="auto"/>
        <w:bottom w:val="none" w:sz="0" w:space="0" w:color="auto"/>
        <w:right w:val="none" w:sz="0" w:space="0" w:color="auto"/>
      </w:divBdr>
    </w:div>
    <w:div w:id="1839926793">
      <w:bodyDiv w:val="1"/>
      <w:marLeft w:val="0"/>
      <w:marRight w:val="0"/>
      <w:marTop w:val="0"/>
      <w:marBottom w:val="0"/>
      <w:divBdr>
        <w:top w:val="none" w:sz="0" w:space="0" w:color="auto"/>
        <w:left w:val="none" w:sz="0" w:space="0" w:color="auto"/>
        <w:bottom w:val="none" w:sz="0" w:space="0" w:color="auto"/>
        <w:right w:val="none" w:sz="0" w:space="0" w:color="auto"/>
      </w:divBdr>
      <w:divsChild>
        <w:div w:id="779228971">
          <w:marLeft w:val="0"/>
          <w:marRight w:val="0"/>
          <w:marTop w:val="0"/>
          <w:marBottom w:val="0"/>
          <w:divBdr>
            <w:top w:val="none" w:sz="0" w:space="0" w:color="auto"/>
            <w:left w:val="none" w:sz="0" w:space="0" w:color="auto"/>
            <w:bottom w:val="none" w:sz="0" w:space="0" w:color="auto"/>
            <w:right w:val="none" w:sz="0" w:space="0" w:color="auto"/>
          </w:divBdr>
        </w:div>
        <w:div w:id="1644046150">
          <w:marLeft w:val="0"/>
          <w:marRight w:val="800"/>
          <w:marTop w:val="0"/>
          <w:marBottom w:val="240"/>
          <w:divBdr>
            <w:top w:val="none" w:sz="0" w:space="0" w:color="auto"/>
            <w:left w:val="none" w:sz="0" w:space="0" w:color="auto"/>
            <w:bottom w:val="none" w:sz="0" w:space="0" w:color="auto"/>
            <w:right w:val="none" w:sz="0" w:space="0" w:color="auto"/>
          </w:divBdr>
          <w:divsChild>
            <w:div w:id="158945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271267">
      <w:bodyDiv w:val="1"/>
      <w:marLeft w:val="0"/>
      <w:marRight w:val="0"/>
      <w:marTop w:val="0"/>
      <w:marBottom w:val="0"/>
      <w:divBdr>
        <w:top w:val="none" w:sz="0" w:space="0" w:color="auto"/>
        <w:left w:val="none" w:sz="0" w:space="0" w:color="auto"/>
        <w:bottom w:val="none" w:sz="0" w:space="0" w:color="auto"/>
        <w:right w:val="none" w:sz="0" w:space="0" w:color="auto"/>
      </w:divBdr>
      <w:divsChild>
        <w:div w:id="1257791431">
          <w:marLeft w:val="0"/>
          <w:marRight w:val="0"/>
          <w:marTop w:val="0"/>
          <w:marBottom w:val="0"/>
          <w:divBdr>
            <w:top w:val="none" w:sz="0" w:space="0" w:color="auto"/>
            <w:left w:val="none" w:sz="0" w:space="0" w:color="auto"/>
            <w:bottom w:val="none" w:sz="0" w:space="0" w:color="auto"/>
            <w:right w:val="none" w:sz="0" w:space="0" w:color="auto"/>
          </w:divBdr>
          <w:divsChild>
            <w:div w:id="2121991500">
              <w:marLeft w:val="-2928"/>
              <w:marRight w:val="0"/>
              <w:marTop w:val="0"/>
              <w:marBottom w:val="144"/>
              <w:divBdr>
                <w:top w:val="none" w:sz="0" w:space="0" w:color="auto"/>
                <w:left w:val="none" w:sz="0" w:space="0" w:color="auto"/>
                <w:bottom w:val="none" w:sz="0" w:space="0" w:color="auto"/>
                <w:right w:val="none" w:sz="0" w:space="0" w:color="auto"/>
              </w:divBdr>
              <w:divsChild>
                <w:div w:id="840780698">
                  <w:marLeft w:val="2928"/>
                  <w:marRight w:val="0"/>
                  <w:marTop w:val="720"/>
                  <w:marBottom w:val="0"/>
                  <w:divBdr>
                    <w:top w:val="single" w:sz="6" w:space="0" w:color="AAAAAA"/>
                    <w:left w:val="single" w:sz="6" w:space="0" w:color="AAAAAA"/>
                    <w:bottom w:val="single" w:sz="6" w:space="0" w:color="AAAAAA"/>
                    <w:right w:val="none" w:sz="0" w:space="0" w:color="auto"/>
                  </w:divBdr>
                  <w:divsChild>
                    <w:div w:id="130719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ru.wikipedia.org"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ru.wikipedia.org/wiki/%D0%A2%D0%BE%D0%B2%D0%B0%D1%8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9A%D0%BE%D0%BC%D0%BF%D0%B0%D0%BD%D0%B8%D1%8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ru.wikipedia.org/wiki/%D0%A1%D1%82%D1%80%D0%B0%D0%BD%D0%B0" TargetMode="External"/><Relationship Id="rId4" Type="http://schemas.openxmlformats.org/officeDocument/2006/relationships/webSettings" Target="webSettings.xml"/><Relationship Id="rId9" Type="http://schemas.openxmlformats.org/officeDocument/2006/relationships/hyperlink" Target="http://ru.wikipedia.org/wiki/%D0%90%D0%BD%D0%B3%D0%BB%D0%B8%D0%B9%D1%81%D0%BA%D0%B8%D0%B9_%D1%8F%D0%B7%D1%8B%D0%BA" TargetMode="External"/><Relationship Id="rId14" Type="http://schemas.openxmlformats.org/officeDocument/2006/relationships/hyperlink" Target="http://a-nomalia.narod.ru/finance-3/index.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4635</Words>
  <Characters>26424</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Вторичный рынок ценных бумаг – рынок, на котором осуществляется обращение ценных бумаг в форме перепродажи ранее выпущенных и в других формах</vt:lpstr>
    </vt:vector>
  </TitlesOfParts>
  <Company/>
  <LinksUpToDate>false</LinksUpToDate>
  <CharactersWithSpaces>30998</CharactersWithSpaces>
  <SharedDoc>false</SharedDoc>
  <HLinks>
    <vt:vector size="66" baseType="variant">
      <vt:variant>
        <vt:i4>5832725</vt:i4>
      </vt:variant>
      <vt:variant>
        <vt:i4>48</vt:i4>
      </vt:variant>
      <vt:variant>
        <vt:i4>0</vt:i4>
      </vt:variant>
      <vt:variant>
        <vt:i4>5</vt:i4>
      </vt:variant>
      <vt:variant>
        <vt:lpwstr>http://a-nomalia.narod.ru/finance-3/index.htm</vt:lpwstr>
      </vt:variant>
      <vt:variant>
        <vt:lpwstr/>
      </vt:variant>
      <vt:variant>
        <vt:i4>524317</vt:i4>
      </vt:variant>
      <vt:variant>
        <vt:i4>45</vt:i4>
      </vt:variant>
      <vt:variant>
        <vt:i4>0</vt:i4>
      </vt:variant>
      <vt:variant>
        <vt:i4>5</vt:i4>
      </vt:variant>
      <vt:variant>
        <vt:lpwstr>http://ru.wikipedia.org/</vt:lpwstr>
      </vt:variant>
      <vt:variant>
        <vt:lpwstr/>
      </vt:variant>
      <vt:variant>
        <vt:i4>2555962</vt:i4>
      </vt:variant>
      <vt:variant>
        <vt:i4>42</vt:i4>
      </vt:variant>
      <vt:variant>
        <vt:i4>0</vt:i4>
      </vt:variant>
      <vt:variant>
        <vt:i4>5</vt:i4>
      </vt:variant>
      <vt:variant>
        <vt:lpwstr>http://ru.wikipedia.org/wiki/%D0%A2%D0%BE%D0%B2%D0%B0%D1%80</vt:lpwstr>
      </vt:variant>
      <vt:variant>
        <vt:lpwstr/>
      </vt:variant>
      <vt:variant>
        <vt:i4>524355</vt:i4>
      </vt:variant>
      <vt:variant>
        <vt:i4>39</vt:i4>
      </vt:variant>
      <vt:variant>
        <vt:i4>0</vt:i4>
      </vt:variant>
      <vt:variant>
        <vt:i4>5</vt:i4>
      </vt:variant>
      <vt:variant>
        <vt:lpwstr>http://ru.wikipedia.org/wiki/%D0%9A%D0%BE%D0%BC%D0%BF%D0%B0%D0%BD%D0%B8%D1%8F</vt:lpwstr>
      </vt:variant>
      <vt:variant>
        <vt:lpwstr/>
      </vt:variant>
      <vt:variant>
        <vt:i4>720969</vt:i4>
      </vt:variant>
      <vt:variant>
        <vt:i4>36</vt:i4>
      </vt:variant>
      <vt:variant>
        <vt:i4>0</vt:i4>
      </vt:variant>
      <vt:variant>
        <vt:i4>5</vt:i4>
      </vt:variant>
      <vt:variant>
        <vt:lpwstr>http://ru.wikipedia.org/wiki/%D0%A1%D1%82%D1%80%D0%B0%D0%BD%D0%B0</vt:lpwstr>
      </vt:variant>
      <vt:variant>
        <vt:lpwstr/>
      </vt:variant>
      <vt:variant>
        <vt:i4>327803</vt:i4>
      </vt:variant>
      <vt:variant>
        <vt:i4>33</vt:i4>
      </vt:variant>
      <vt:variant>
        <vt:i4>0</vt:i4>
      </vt:variant>
      <vt:variant>
        <vt:i4>5</vt:i4>
      </vt:variant>
      <vt:variant>
        <vt:lpwstr>http://ru.wikipedia.org/wiki/%D0%90%D0%BD%D0%B3%D0%BB%D0%B8%D0%B9%D1%81%D0%BA%D0%B8%D0%B9_%D1%8F%D0%B7%D1%8B%D0%BA</vt:lpwstr>
      </vt:variant>
      <vt:variant>
        <vt:lpwstr/>
      </vt:variant>
      <vt:variant>
        <vt:i4>1245237</vt:i4>
      </vt:variant>
      <vt:variant>
        <vt:i4>26</vt:i4>
      </vt:variant>
      <vt:variant>
        <vt:i4>0</vt:i4>
      </vt:variant>
      <vt:variant>
        <vt:i4>5</vt:i4>
      </vt:variant>
      <vt:variant>
        <vt:lpwstr/>
      </vt:variant>
      <vt:variant>
        <vt:lpwstr>_Toc190921659</vt:lpwstr>
      </vt:variant>
      <vt:variant>
        <vt:i4>1245237</vt:i4>
      </vt:variant>
      <vt:variant>
        <vt:i4>20</vt:i4>
      </vt:variant>
      <vt:variant>
        <vt:i4>0</vt:i4>
      </vt:variant>
      <vt:variant>
        <vt:i4>5</vt:i4>
      </vt:variant>
      <vt:variant>
        <vt:lpwstr/>
      </vt:variant>
      <vt:variant>
        <vt:lpwstr>_Toc190921658</vt:lpwstr>
      </vt:variant>
      <vt:variant>
        <vt:i4>1245237</vt:i4>
      </vt:variant>
      <vt:variant>
        <vt:i4>14</vt:i4>
      </vt:variant>
      <vt:variant>
        <vt:i4>0</vt:i4>
      </vt:variant>
      <vt:variant>
        <vt:i4>5</vt:i4>
      </vt:variant>
      <vt:variant>
        <vt:lpwstr/>
      </vt:variant>
      <vt:variant>
        <vt:lpwstr>_Toc190921657</vt:lpwstr>
      </vt:variant>
      <vt:variant>
        <vt:i4>1245237</vt:i4>
      </vt:variant>
      <vt:variant>
        <vt:i4>8</vt:i4>
      </vt:variant>
      <vt:variant>
        <vt:i4>0</vt:i4>
      </vt:variant>
      <vt:variant>
        <vt:i4>5</vt:i4>
      </vt:variant>
      <vt:variant>
        <vt:lpwstr/>
      </vt:variant>
      <vt:variant>
        <vt:lpwstr>_Toc190921656</vt:lpwstr>
      </vt:variant>
      <vt:variant>
        <vt:i4>1245237</vt:i4>
      </vt:variant>
      <vt:variant>
        <vt:i4>2</vt:i4>
      </vt:variant>
      <vt:variant>
        <vt:i4>0</vt:i4>
      </vt:variant>
      <vt:variant>
        <vt:i4>5</vt:i4>
      </vt:variant>
      <vt:variant>
        <vt:lpwstr/>
      </vt:variant>
      <vt:variant>
        <vt:lpwstr>_Toc190921655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Вторичный рынок ценных бумаг – рынок, на котором осуществляется обращение ценных бумаг в форме перепродажи ранее выпущенных и в других формах</dc:title>
  <dc:subject/>
  <dc:creator>Фаничка</dc:creator>
  <cp:keywords/>
  <dc:description/>
  <cp:lastModifiedBy>admin</cp:lastModifiedBy>
  <cp:revision>2</cp:revision>
  <dcterms:created xsi:type="dcterms:W3CDTF">2014-04-23T22:16:00Z</dcterms:created>
  <dcterms:modified xsi:type="dcterms:W3CDTF">2014-04-23T22:16:00Z</dcterms:modified>
</cp:coreProperties>
</file>