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178" w:rsidRDefault="00055178" w:rsidP="00C84E01">
      <w:pPr>
        <w:tabs>
          <w:tab w:val="left" w:pos="2925"/>
        </w:tabs>
        <w:spacing w:line="360" w:lineRule="auto"/>
        <w:rPr>
          <w:sz w:val="28"/>
          <w:szCs w:val="28"/>
        </w:rPr>
      </w:pPr>
    </w:p>
    <w:p w:rsidR="0073269D" w:rsidRPr="00B51DC9" w:rsidRDefault="00C84E01" w:rsidP="00C84E01">
      <w:pPr>
        <w:tabs>
          <w:tab w:val="left" w:pos="2925"/>
        </w:tabs>
        <w:spacing w:line="360" w:lineRule="auto"/>
        <w:rPr>
          <w:b/>
          <w:bCs/>
          <w:sz w:val="28"/>
          <w:szCs w:val="28"/>
        </w:rPr>
      </w:pPr>
      <w:r>
        <w:rPr>
          <w:sz w:val="28"/>
          <w:szCs w:val="28"/>
        </w:rPr>
        <w:tab/>
      </w:r>
      <w:r w:rsidR="0073269D" w:rsidRPr="00B51DC9">
        <w:rPr>
          <w:b/>
          <w:bCs/>
          <w:sz w:val="28"/>
          <w:szCs w:val="28"/>
        </w:rPr>
        <w:t>СОДЕРЖАНИЕ</w:t>
      </w:r>
    </w:p>
    <w:p w:rsidR="0073269D" w:rsidRPr="00B51DC9" w:rsidRDefault="0073269D" w:rsidP="00B51DC9">
      <w:pPr>
        <w:tabs>
          <w:tab w:val="left" w:pos="2925"/>
        </w:tabs>
        <w:spacing w:line="360" w:lineRule="auto"/>
        <w:ind w:firstLine="709"/>
        <w:jc w:val="both"/>
        <w:rPr>
          <w:sz w:val="28"/>
          <w:szCs w:val="28"/>
        </w:rPr>
      </w:pPr>
    </w:p>
    <w:p w:rsidR="0073269D" w:rsidRPr="00B51DC9" w:rsidRDefault="0073269D" w:rsidP="00B51DC9">
      <w:pPr>
        <w:tabs>
          <w:tab w:val="left" w:pos="2925"/>
        </w:tabs>
        <w:spacing w:line="360" w:lineRule="auto"/>
        <w:rPr>
          <w:sz w:val="28"/>
          <w:szCs w:val="28"/>
        </w:rPr>
      </w:pPr>
      <w:r w:rsidRPr="00B51DC9">
        <w:rPr>
          <w:sz w:val="28"/>
          <w:szCs w:val="28"/>
        </w:rPr>
        <w:t>Введение</w:t>
      </w:r>
      <w:r w:rsidR="0053455B">
        <w:rPr>
          <w:sz w:val="28"/>
          <w:szCs w:val="28"/>
        </w:rPr>
        <w:t>……………………………………………………………………….…3</w:t>
      </w:r>
    </w:p>
    <w:p w:rsidR="0073269D" w:rsidRPr="00B51DC9" w:rsidRDefault="0053455B" w:rsidP="00B51DC9">
      <w:pPr>
        <w:tabs>
          <w:tab w:val="left" w:pos="2925"/>
        </w:tabs>
        <w:spacing w:line="360" w:lineRule="auto"/>
        <w:rPr>
          <w:sz w:val="28"/>
          <w:szCs w:val="28"/>
        </w:rPr>
      </w:pPr>
      <w:r>
        <w:rPr>
          <w:sz w:val="28"/>
          <w:szCs w:val="28"/>
        </w:rPr>
        <w:t>1.</w:t>
      </w:r>
      <w:r w:rsidR="0073269D" w:rsidRPr="00B51DC9">
        <w:rPr>
          <w:sz w:val="28"/>
          <w:szCs w:val="28"/>
        </w:rPr>
        <w:t xml:space="preserve"> Особенности инвестиционной деятельности коммерческого банка на рынке ценных бумаг</w:t>
      </w:r>
      <w:r>
        <w:rPr>
          <w:sz w:val="28"/>
          <w:szCs w:val="28"/>
        </w:rPr>
        <w:t>………………………………………………………………….…5</w:t>
      </w:r>
    </w:p>
    <w:p w:rsidR="0073269D" w:rsidRPr="00C84E01" w:rsidRDefault="0073269D" w:rsidP="00C84E01">
      <w:pPr>
        <w:spacing w:line="360" w:lineRule="auto"/>
        <w:rPr>
          <w:bCs/>
          <w:sz w:val="28"/>
          <w:szCs w:val="28"/>
        </w:rPr>
      </w:pPr>
      <w:r w:rsidRPr="00C84E01">
        <w:rPr>
          <w:sz w:val="28"/>
          <w:szCs w:val="28"/>
        </w:rPr>
        <w:t>2</w:t>
      </w:r>
      <w:r w:rsidR="0053455B" w:rsidRPr="00C84E01">
        <w:rPr>
          <w:sz w:val="28"/>
          <w:szCs w:val="28"/>
        </w:rPr>
        <w:t>.</w:t>
      </w:r>
      <w:r w:rsidRPr="00C84E01">
        <w:rPr>
          <w:sz w:val="28"/>
          <w:szCs w:val="28"/>
        </w:rPr>
        <w:t xml:space="preserve"> </w:t>
      </w:r>
      <w:r w:rsidR="00C84E01" w:rsidRPr="00C84E01">
        <w:rPr>
          <w:bCs/>
          <w:sz w:val="28"/>
          <w:szCs w:val="28"/>
        </w:rPr>
        <w:t xml:space="preserve">Операции коммерческих банков на рынке </w:t>
      </w:r>
      <w:r w:rsidR="00C84E01">
        <w:rPr>
          <w:bCs/>
          <w:sz w:val="28"/>
          <w:szCs w:val="28"/>
        </w:rPr>
        <w:t>ценных бумаг</w:t>
      </w:r>
      <w:r w:rsidR="00C84E01">
        <w:rPr>
          <w:sz w:val="28"/>
          <w:szCs w:val="28"/>
        </w:rPr>
        <w:t>………</w:t>
      </w:r>
      <w:r w:rsidR="0053455B">
        <w:rPr>
          <w:sz w:val="28"/>
          <w:szCs w:val="28"/>
        </w:rPr>
        <w:t>…………11</w:t>
      </w:r>
    </w:p>
    <w:p w:rsidR="00FD720B" w:rsidRPr="00B51DC9" w:rsidRDefault="0053455B" w:rsidP="00B51DC9">
      <w:pPr>
        <w:tabs>
          <w:tab w:val="left" w:pos="2925"/>
        </w:tabs>
        <w:spacing w:line="360" w:lineRule="auto"/>
        <w:rPr>
          <w:sz w:val="28"/>
          <w:szCs w:val="28"/>
        </w:rPr>
      </w:pPr>
      <w:r>
        <w:rPr>
          <w:sz w:val="28"/>
          <w:szCs w:val="28"/>
        </w:rPr>
        <w:t>3</w:t>
      </w:r>
      <w:r w:rsidR="00FD720B">
        <w:rPr>
          <w:sz w:val="28"/>
          <w:szCs w:val="28"/>
        </w:rPr>
        <w:t xml:space="preserve">. </w:t>
      </w:r>
      <w:r w:rsidR="00FD720B" w:rsidRPr="00FD720B">
        <w:rPr>
          <w:color w:val="000000"/>
          <w:sz w:val="28"/>
          <w:szCs w:val="28"/>
        </w:rPr>
        <w:t>Проблемы и перспективы развития инвестиционных операций коммерческих банков с ценными бумагами</w:t>
      </w:r>
      <w:r w:rsidR="00C84E01">
        <w:rPr>
          <w:sz w:val="28"/>
          <w:szCs w:val="28"/>
        </w:rPr>
        <w:t>…………………………………...14</w:t>
      </w:r>
    </w:p>
    <w:p w:rsidR="0073269D" w:rsidRPr="00B51DC9" w:rsidRDefault="0073269D" w:rsidP="00B51DC9">
      <w:pPr>
        <w:tabs>
          <w:tab w:val="left" w:pos="2925"/>
        </w:tabs>
        <w:spacing w:line="360" w:lineRule="auto"/>
        <w:rPr>
          <w:sz w:val="28"/>
          <w:szCs w:val="28"/>
        </w:rPr>
      </w:pPr>
      <w:r w:rsidRPr="00B51DC9">
        <w:rPr>
          <w:sz w:val="28"/>
          <w:szCs w:val="28"/>
        </w:rPr>
        <w:t>З</w:t>
      </w:r>
      <w:r w:rsidR="00C84E01">
        <w:rPr>
          <w:sz w:val="28"/>
          <w:szCs w:val="28"/>
        </w:rPr>
        <w:t>аключение…………………………………………………………………….…19</w:t>
      </w:r>
    </w:p>
    <w:p w:rsidR="0073269D" w:rsidRPr="00B51DC9" w:rsidRDefault="00B51DC9" w:rsidP="00B51DC9">
      <w:pPr>
        <w:tabs>
          <w:tab w:val="left" w:pos="2925"/>
        </w:tabs>
        <w:spacing w:line="360" w:lineRule="auto"/>
        <w:rPr>
          <w:sz w:val="28"/>
          <w:szCs w:val="28"/>
        </w:rPr>
      </w:pPr>
      <w:r>
        <w:rPr>
          <w:sz w:val="28"/>
          <w:szCs w:val="28"/>
        </w:rPr>
        <w:t>Список используемой литературы</w:t>
      </w:r>
      <w:r w:rsidR="00C84E01">
        <w:rPr>
          <w:sz w:val="28"/>
          <w:szCs w:val="28"/>
        </w:rPr>
        <w:t>……………………………………………..20</w:t>
      </w:r>
    </w:p>
    <w:p w:rsidR="00E07830" w:rsidRPr="00B51DC9" w:rsidRDefault="00E07830" w:rsidP="00C84E01">
      <w:pPr>
        <w:tabs>
          <w:tab w:val="left" w:pos="2925"/>
        </w:tabs>
        <w:spacing w:line="360" w:lineRule="auto"/>
        <w:rPr>
          <w:sz w:val="28"/>
          <w:szCs w:val="28"/>
        </w:rPr>
      </w:pPr>
    </w:p>
    <w:p w:rsidR="00A065D4" w:rsidRPr="00B51DC9" w:rsidRDefault="00C8547E" w:rsidP="00C84E01">
      <w:pPr>
        <w:spacing w:line="360" w:lineRule="auto"/>
        <w:ind w:firstLine="709"/>
        <w:jc w:val="center"/>
        <w:rPr>
          <w:b/>
          <w:bCs/>
          <w:sz w:val="28"/>
          <w:szCs w:val="28"/>
        </w:rPr>
      </w:pPr>
      <w:r>
        <w:rPr>
          <w:sz w:val="28"/>
          <w:szCs w:val="28"/>
        </w:rPr>
        <w:br w:type="page"/>
      </w:r>
      <w:r w:rsidR="00F30212" w:rsidRPr="00B51DC9">
        <w:rPr>
          <w:b/>
          <w:bCs/>
          <w:sz w:val="28"/>
          <w:szCs w:val="28"/>
        </w:rPr>
        <w:t>2</w:t>
      </w:r>
      <w:r w:rsidR="0053455B">
        <w:rPr>
          <w:b/>
          <w:bCs/>
          <w:sz w:val="28"/>
          <w:szCs w:val="28"/>
        </w:rPr>
        <w:t>.</w:t>
      </w:r>
      <w:r w:rsidR="00C07EA2" w:rsidRPr="00B51DC9">
        <w:rPr>
          <w:b/>
          <w:bCs/>
          <w:sz w:val="28"/>
          <w:szCs w:val="28"/>
        </w:rPr>
        <w:t xml:space="preserve"> </w:t>
      </w:r>
      <w:r w:rsidR="00C84E01">
        <w:rPr>
          <w:b/>
          <w:bCs/>
          <w:sz w:val="28"/>
          <w:szCs w:val="28"/>
        </w:rPr>
        <w:t>ОПЕРАЦИИ КОММЕРЧЕСКИХ БАНКОВ НА РЫНКЕ ЦЕННЫХ БУМАГ.</w:t>
      </w:r>
    </w:p>
    <w:p w:rsidR="00676A76" w:rsidRPr="00B51DC9" w:rsidRDefault="00676A76" w:rsidP="00B51DC9">
      <w:pPr>
        <w:spacing w:line="360" w:lineRule="auto"/>
        <w:ind w:firstLine="709"/>
        <w:jc w:val="both"/>
        <w:rPr>
          <w:sz w:val="28"/>
          <w:szCs w:val="28"/>
        </w:rPr>
      </w:pPr>
    </w:p>
    <w:p w:rsidR="00C84E01" w:rsidRPr="00C84E01" w:rsidRDefault="00C84E01" w:rsidP="00C84E01">
      <w:pPr>
        <w:spacing w:line="360" w:lineRule="auto"/>
        <w:ind w:firstLine="709"/>
        <w:rPr>
          <w:sz w:val="28"/>
          <w:szCs w:val="28"/>
        </w:rPr>
      </w:pPr>
      <w:r w:rsidRPr="00C84E01">
        <w:rPr>
          <w:sz w:val="28"/>
          <w:szCs w:val="28"/>
        </w:rPr>
        <w:t>Коммерческие банки с целью диверсификации активных операций и источников получения дополнительных доходов, поддержания ликвидности балансов широко используют операции с государственными ценными бумагами. Для современного периода наиболее распространенными операциями являются операции с государственными краткосрочными операциями (ГКО), облигациями федерального займа (ОФЗ), облигациями государственного сберегательного займа (ОГСЗ), облигациями внешнего государственного валютного займа (ОВГВЗ).</w:t>
      </w:r>
    </w:p>
    <w:p w:rsidR="00C84E01" w:rsidRPr="00C84E01" w:rsidRDefault="00C84E01" w:rsidP="00C84E01">
      <w:pPr>
        <w:spacing w:line="360" w:lineRule="auto"/>
        <w:ind w:firstLine="709"/>
        <w:rPr>
          <w:sz w:val="28"/>
          <w:szCs w:val="28"/>
        </w:rPr>
      </w:pPr>
      <w:r w:rsidRPr="00C84E01">
        <w:rPr>
          <w:sz w:val="28"/>
          <w:szCs w:val="28"/>
        </w:rPr>
        <w:t>Эмитентами всех перечисленных ценных бумаг является Министерство финансов Российской Федерации. Размещение выпуска облигаций осуществляется Центральным банком РФ по поручению Министерства финансов РФ в форме аукциона, проводимого в Торговой системе. Центральный банк РФ гарантирует своевременность погашения выпущенных государственных краткосрочных облигаций. Погашение ГКО производится в безналичной форме путем перечисления их владельцам номинальной стоимости ГКО на момент их погашения. Доходом по ГКО является разница между ценой реализации или ценой погашения и ценой покупки.</w:t>
      </w:r>
    </w:p>
    <w:p w:rsidR="00C84E01" w:rsidRPr="00C84E01" w:rsidRDefault="00C84E01" w:rsidP="00C84E01">
      <w:pPr>
        <w:spacing w:line="360" w:lineRule="auto"/>
        <w:ind w:firstLine="709"/>
        <w:rPr>
          <w:sz w:val="28"/>
          <w:szCs w:val="28"/>
        </w:rPr>
      </w:pPr>
      <w:r w:rsidRPr="00C84E01">
        <w:rPr>
          <w:sz w:val="28"/>
          <w:szCs w:val="28"/>
        </w:rPr>
        <w:t>Торговая система - это организация, уполномоченная на основании договора с Центральным банком РФ обеспечивать процедуру сделок купли-продажи облигаций.</w:t>
      </w:r>
    </w:p>
    <w:p w:rsidR="00C84E01" w:rsidRPr="00C84E01" w:rsidRDefault="00C84E01" w:rsidP="00C84E01">
      <w:pPr>
        <w:spacing w:line="360" w:lineRule="auto"/>
        <w:ind w:firstLine="709"/>
        <w:rPr>
          <w:sz w:val="28"/>
          <w:szCs w:val="28"/>
        </w:rPr>
      </w:pPr>
      <w:r w:rsidRPr="00C84E01">
        <w:rPr>
          <w:sz w:val="28"/>
          <w:szCs w:val="28"/>
        </w:rPr>
        <w:t>Аукционная система продажи ГКО была разработана на основе уже давно действующей в США системы продажи казначейских векселей. Такая схема, во-первых, расширяет возможности мелких инвесторов, а во-вторых, позволяет размещать государству займы по более выгодной для него ставке за счет заявок с высокими ценами. Инвесторы могут подавать конкурентные либо неконкурентные заявки. На аукционе, во время закрытых торгов, покупатели решают для себя, по какой цене они могут купить государственные обязательства. Когда время, отведенное для подачи заявок, истекает, все заявки ранжируются в порядке, соответствующим предложенным ценам. Вычитая сумму неконкурентных заявок из суммы всех заявок, Казначейство удовлетворяет конкурентные заявки, начиная с более высокой цены и продолжая до тех пор, пока необходимые денежные средства не будут набраны. Поскольку удачливые участники торгов обязаны платить ту цену, которую они предлагали в заявке, то тот, кто предложил более высокую цену, может потерпеть убыток, так как не сможет реализовать купленные казначейские обязательства по выгодной для себя цене. В России система аукционного размещения ГКО совпадает с описанной американской системой.</w:t>
      </w:r>
    </w:p>
    <w:p w:rsidR="00C84E01" w:rsidRPr="00C84E01" w:rsidRDefault="00C84E01" w:rsidP="00C84E01">
      <w:pPr>
        <w:spacing w:line="360" w:lineRule="auto"/>
        <w:ind w:firstLine="709"/>
        <w:rPr>
          <w:sz w:val="28"/>
          <w:szCs w:val="28"/>
        </w:rPr>
      </w:pPr>
      <w:r w:rsidRPr="00C84E01">
        <w:rPr>
          <w:sz w:val="28"/>
          <w:szCs w:val="28"/>
        </w:rPr>
        <w:t>Выпуск ГКО считается состоявшимся, если в период его размещения было продано не менее 20% количества облигаций, предлагавшихся к выпуску.</w:t>
      </w:r>
    </w:p>
    <w:p w:rsidR="00C84E01" w:rsidRPr="00C84E01" w:rsidRDefault="00C84E01" w:rsidP="00C84E01">
      <w:pPr>
        <w:spacing w:line="360" w:lineRule="auto"/>
        <w:ind w:firstLine="709"/>
        <w:rPr>
          <w:sz w:val="28"/>
          <w:szCs w:val="28"/>
        </w:rPr>
      </w:pPr>
      <w:r w:rsidRPr="00C84E01">
        <w:rPr>
          <w:sz w:val="28"/>
          <w:szCs w:val="28"/>
        </w:rPr>
        <w:t>Обращение облигаций осуществляется на первичном и вторичном рынках путем заключения договоров купли-продажи. Переход права собственности от одного владельца к другому наступает в момент перевода облигаций на счет депо их нового владельца.</w:t>
      </w:r>
    </w:p>
    <w:p w:rsidR="00C84E01" w:rsidRPr="00C84E01" w:rsidRDefault="00C84E01" w:rsidP="00C84E01">
      <w:pPr>
        <w:spacing w:line="360" w:lineRule="auto"/>
        <w:ind w:firstLine="709"/>
        <w:rPr>
          <w:sz w:val="28"/>
          <w:szCs w:val="28"/>
        </w:rPr>
      </w:pPr>
      <w:r w:rsidRPr="00C84E01">
        <w:rPr>
          <w:sz w:val="28"/>
          <w:szCs w:val="28"/>
        </w:rPr>
        <w:t>Коммерческие банки, заключившие договор с Центральным банком РФ на выполнение функций по обслуживанию операций с облигациями, называются дилерами. Для заключения договора с ЦБ РФ коммерческий банк, претендующий на получение места дилера на Московской межбанковской валютной бирже, должен:</w:t>
      </w:r>
    </w:p>
    <w:p w:rsidR="00C84E01" w:rsidRPr="00C84E01" w:rsidRDefault="00C84E01" w:rsidP="00C84E01">
      <w:pPr>
        <w:spacing w:line="360" w:lineRule="auto"/>
        <w:ind w:firstLine="709"/>
        <w:rPr>
          <w:sz w:val="28"/>
          <w:szCs w:val="28"/>
        </w:rPr>
      </w:pPr>
      <w:r w:rsidRPr="00C84E01">
        <w:rPr>
          <w:sz w:val="28"/>
          <w:szCs w:val="28"/>
        </w:rPr>
        <w:t>а) выкупать 0,5% ценных бумаг от объявленной эмиссии;</w:t>
      </w:r>
    </w:p>
    <w:p w:rsidR="00C84E01" w:rsidRPr="00C84E01" w:rsidRDefault="00C84E01" w:rsidP="00C84E01">
      <w:pPr>
        <w:spacing w:line="360" w:lineRule="auto"/>
        <w:ind w:firstLine="709"/>
        <w:rPr>
          <w:sz w:val="28"/>
          <w:szCs w:val="28"/>
        </w:rPr>
      </w:pPr>
      <w:r w:rsidRPr="00C84E01">
        <w:rPr>
          <w:sz w:val="28"/>
          <w:szCs w:val="28"/>
        </w:rPr>
        <w:t>б) по итогам года выкупить 0,5% ценных бумаг от реализованного за год объема.</w:t>
      </w:r>
    </w:p>
    <w:p w:rsidR="00C84E01" w:rsidRPr="00C84E01" w:rsidRDefault="00C84E01" w:rsidP="00C84E01">
      <w:pPr>
        <w:spacing w:line="360" w:lineRule="auto"/>
        <w:ind w:firstLine="709"/>
        <w:rPr>
          <w:sz w:val="28"/>
          <w:szCs w:val="28"/>
        </w:rPr>
      </w:pPr>
      <w:r w:rsidRPr="00C84E01">
        <w:rPr>
          <w:sz w:val="28"/>
          <w:szCs w:val="28"/>
        </w:rPr>
        <w:t>Дилер осуществляет сделки с ценными бумагами от своего имени и за свой счет путем публичного объявления цен покупки и/или продажи определенных бумаг. Дилер работает на основе оферты, т.е. адресованного потенциально неограниченному кругу лиц предложения заключить сделку на условиях предложения. Любое лицо, выражая свое согласие с предложением, заключает тем самым сделку, и дилер обязан ее исполнить. Отказ от исполнения сделки с дилером на объявленных им условиях не допускается. В предложении (оферте) должны быть оговорены существенные условия сделки по усмотрению дилера. Как правило, в ее состав входят цена покупки и/или продажи, минимальный (максимальный) объем сделки, срок действия оферты, порядок передачи ценных бумаг и платежа. Доход дилер получает за счет спрэда, т.е. за счет разницы цен покупки и продажи. Как правило, в условиях конкуренции спрэды устанавливаются на довольно незначительном уровне (доли процентов), поэтому возможность для извлечения дохода содержится в увеличении оборота.</w:t>
      </w:r>
    </w:p>
    <w:p w:rsidR="00C84E01" w:rsidRPr="00C84E01" w:rsidRDefault="00C84E01" w:rsidP="00C84E01">
      <w:pPr>
        <w:spacing w:line="360" w:lineRule="auto"/>
        <w:ind w:firstLine="709"/>
        <w:rPr>
          <w:sz w:val="28"/>
          <w:szCs w:val="28"/>
        </w:rPr>
      </w:pPr>
      <w:r w:rsidRPr="00C84E01">
        <w:rPr>
          <w:sz w:val="28"/>
          <w:szCs w:val="28"/>
        </w:rPr>
        <w:t xml:space="preserve">Коммерческие банки </w:t>
      </w:r>
      <w:r>
        <w:rPr>
          <w:sz w:val="28"/>
          <w:szCs w:val="28"/>
        </w:rPr>
        <w:t>–</w:t>
      </w:r>
      <w:r w:rsidRPr="00C84E01">
        <w:rPr>
          <w:sz w:val="28"/>
          <w:szCs w:val="28"/>
        </w:rPr>
        <w:t xml:space="preserve"> недилеры и другие юридические и физические лица, выступающие в качестве инвесторов, приобретают ГКО и другие государственные ценные бумаги, заключив соответствующие договоры с дилерами.</w:t>
      </w:r>
    </w:p>
    <w:p w:rsidR="00C84E01" w:rsidRPr="00C84E01" w:rsidRDefault="00C84E01" w:rsidP="00C84E01">
      <w:pPr>
        <w:spacing w:line="360" w:lineRule="auto"/>
        <w:ind w:firstLine="709"/>
        <w:rPr>
          <w:sz w:val="28"/>
          <w:szCs w:val="28"/>
        </w:rPr>
      </w:pPr>
      <w:r w:rsidRPr="00C84E01">
        <w:rPr>
          <w:sz w:val="28"/>
          <w:szCs w:val="28"/>
        </w:rPr>
        <w:t>Облигации, купленные дилерами и инвесторами, подлежат периодической переоценке. Переоценка облигаций представляет собой определение балансовой стоимости облигаций, которые находятся в портфеле дилера или инвестора, по состоянию на конец рабочего дня.</w:t>
      </w:r>
    </w:p>
    <w:p w:rsidR="00C84E01" w:rsidRPr="00C84E01" w:rsidRDefault="00C84E01" w:rsidP="00C84E01">
      <w:pPr>
        <w:spacing w:line="360" w:lineRule="auto"/>
        <w:ind w:firstLine="709"/>
        <w:rPr>
          <w:sz w:val="28"/>
          <w:szCs w:val="28"/>
        </w:rPr>
      </w:pPr>
      <w:r w:rsidRPr="00C84E01">
        <w:rPr>
          <w:sz w:val="28"/>
          <w:szCs w:val="28"/>
        </w:rPr>
        <w:t>Операции РЕПО для российских коммерческих банков являются новым видом операций с ценными бумагами, но довольно широко используемым как коммерческими банками, так и финансовыми компаниями и другими участниками фондового рынка. Рынок РЕПО, несмотря на сложности на финансовом рынке, имеет объективные перспективы развития и постепенно может стать одним из его секторов.</w:t>
      </w:r>
    </w:p>
    <w:p w:rsidR="00C84E01" w:rsidRPr="00C84E01" w:rsidRDefault="00C84E01" w:rsidP="00C84E01">
      <w:pPr>
        <w:spacing w:line="360" w:lineRule="auto"/>
        <w:ind w:firstLine="709"/>
        <w:rPr>
          <w:sz w:val="28"/>
          <w:szCs w:val="28"/>
        </w:rPr>
      </w:pPr>
      <w:r w:rsidRPr="00C84E01">
        <w:rPr>
          <w:sz w:val="28"/>
          <w:szCs w:val="28"/>
        </w:rPr>
        <w:t>РЕПО - финансовая операция, состоящая из двух частей. Одна из участвующих в сделке сторон продает ценные бумаги другой стороне и в то же время берет на себя обязательство выкупить указанные ценные бумаги в определенную дату или по требованию второй стороны.</w:t>
      </w:r>
    </w:p>
    <w:p w:rsidR="005F4F71" w:rsidRPr="00B51DC9" w:rsidRDefault="005F4F71" w:rsidP="00C84E01">
      <w:pPr>
        <w:pStyle w:val="HTML"/>
        <w:spacing w:line="360" w:lineRule="auto"/>
        <w:jc w:val="both"/>
        <w:rPr>
          <w:rFonts w:ascii="Times New Roman" w:hAnsi="Times New Roman" w:cs="Times New Roman"/>
          <w:sz w:val="28"/>
          <w:szCs w:val="28"/>
        </w:rPr>
      </w:pPr>
    </w:p>
    <w:p w:rsidR="00082369" w:rsidRPr="007B37AC" w:rsidRDefault="0053455B" w:rsidP="007B37AC">
      <w:pPr>
        <w:pStyle w:val="HTML"/>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sz w:val="28"/>
          <w:szCs w:val="28"/>
        </w:rPr>
        <w:t>3.</w:t>
      </w:r>
      <w:r w:rsidR="00082369" w:rsidRPr="007B37AC">
        <w:rPr>
          <w:rFonts w:ascii="Times New Roman" w:hAnsi="Times New Roman" w:cs="Times New Roman"/>
          <w:b/>
          <w:bCs/>
          <w:color w:val="000000"/>
          <w:sz w:val="28"/>
          <w:szCs w:val="28"/>
        </w:rPr>
        <w:t xml:space="preserve"> </w:t>
      </w:r>
      <w:r w:rsidR="006C4207" w:rsidRPr="007B37AC">
        <w:rPr>
          <w:rFonts w:ascii="Times New Roman" w:hAnsi="Times New Roman" w:cs="Times New Roman"/>
          <w:b/>
          <w:bCs/>
          <w:color w:val="000000"/>
          <w:sz w:val="28"/>
          <w:szCs w:val="28"/>
        </w:rPr>
        <w:t xml:space="preserve">ПРОБЛЕМЫ И ПЕРСПЕКТИВЫ </w:t>
      </w:r>
      <w:r w:rsidR="00EC27B4" w:rsidRPr="007B37AC">
        <w:rPr>
          <w:rFonts w:ascii="Times New Roman" w:hAnsi="Times New Roman" w:cs="Times New Roman"/>
          <w:b/>
          <w:bCs/>
          <w:color w:val="000000"/>
          <w:sz w:val="28"/>
          <w:szCs w:val="28"/>
        </w:rPr>
        <w:t>РАЗВИТИЯ ИНВЕСТИЦИОННЫХ ОПЕРАЦИЙ КОММЕРЧЕСКИХ БАНКОВ С ЦЕННЫМИ БУМАГАМИ</w:t>
      </w:r>
    </w:p>
    <w:p w:rsidR="00082369" w:rsidRPr="00B51DC9" w:rsidRDefault="00082369" w:rsidP="00B51DC9">
      <w:pPr>
        <w:pStyle w:val="HTML"/>
        <w:spacing w:line="360" w:lineRule="auto"/>
        <w:ind w:firstLine="709"/>
        <w:jc w:val="both"/>
        <w:rPr>
          <w:rFonts w:ascii="Times New Roman" w:hAnsi="Times New Roman" w:cs="Times New Roman"/>
          <w:color w:val="000000"/>
          <w:sz w:val="28"/>
          <w:szCs w:val="28"/>
        </w:rPr>
      </w:pPr>
    </w:p>
    <w:p w:rsidR="00082369" w:rsidRPr="00B51DC9" w:rsidRDefault="00082369" w:rsidP="00B51DC9">
      <w:pPr>
        <w:spacing w:line="360" w:lineRule="auto"/>
        <w:ind w:firstLine="709"/>
        <w:jc w:val="both"/>
        <w:rPr>
          <w:sz w:val="28"/>
          <w:szCs w:val="28"/>
        </w:rPr>
      </w:pPr>
      <w:r w:rsidRPr="00B51DC9">
        <w:rPr>
          <w:sz w:val="28"/>
          <w:szCs w:val="28"/>
        </w:rPr>
        <w:t>В начале 90-х годов в России была выбрана смешанная модель рынка ценных бумаг, на котором одновременно с равными правами присутствовали</w:t>
      </w:r>
      <w:r w:rsidR="00B84E83">
        <w:rPr>
          <w:sz w:val="28"/>
          <w:szCs w:val="28"/>
        </w:rPr>
        <w:t xml:space="preserve"> </w:t>
      </w:r>
      <w:r w:rsidRPr="00B51DC9">
        <w:rPr>
          <w:sz w:val="28"/>
          <w:szCs w:val="28"/>
        </w:rPr>
        <w:t>и</w:t>
      </w:r>
      <w:r w:rsidR="00B84E83">
        <w:rPr>
          <w:sz w:val="28"/>
          <w:szCs w:val="28"/>
        </w:rPr>
        <w:t xml:space="preserve"> </w:t>
      </w:r>
      <w:r w:rsidRPr="00B51DC9">
        <w:rPr>
          <w:sz w:val="28"/>
          <w:szCs w:val="28"/>
        </w:rPr>
        <w:t>банки</w:t>
      </w:r>
      <w:r w:rsidR="00B84E83">
        <w:rPr>
          <w:sz w:val="28"/>
          <w:szCs w:val="28"/>
        </w:rPr>
        <w:t xml:space="preserve"> </w:t>
      </w:r>
      <w:r w:rsidRPr="00B51DC9">
        <w:rPr>
          <w:sz w:val="28"/>
          <w:szCs w:val="28"/>
        </w:rPr>
        <w:t>и небанковские инвестиционные институты.</w:t>
      </w:r>
      <w:r w:rsidR="00EC27B4" w:rsidRPr="00B51DC9">
        <w:rPr>
          <w:sz w:val="28"/>
          <w:szCs w:val="28"/>
        </w:rPr>
        <w:t xml:space="preserve"> Экономические интересы банков, вытекающие из сущности этих институтов как коммерческих структур, состоят в обеспечении прибыльности своих операций при соблюдении их ликвидности и надежности. </w:t>
      </w:r>
      <w:r w:rsidRPr="00B51DC9">
        <w:rPr>
          <w:sz w:val="28"/>
          <w:szCs w:val="28"/>
        </w:rPr>
        <w:t>Это европейская</w:t>
      </w:r>
      <w:r w:rsidR="00B84E83">
        <w:rPr>
          <w:sz w:val="28"/>
          <w:szCs w:val="28"/>
        </w:rPr>
        <w:t xml:space="preserve"> </w:t>
      </w:r>
      <w:r w:rsidRPr="00B51DC9">
        <w:rPr>
          <w:sz w:val="28"/>
          <w:szCs w:val="28"/>
        </w:rPr>
        <w:t>модель</w:t>
      </w:r>
      <w:r w:rsidR="00B84E83">
        <w:rPr>
          <w:sz w:val="28"/>
          <w:szCs w:val="28"/>
        </w:rPr>
        <w:t xml:space="preserve"> </w:t>
      </w:r>
      <w:r w:rsidRPr="00B51DC9">
        <w:rPr>
          <w:sz w:val="28"/>
          <w:szCs w:val="28"/>
        </w:rPr>
        <w:t>деятельности универсального коммерческого банка</w:t>
      </w:r>
      <w:r w:rsidR="00B84E83">
        <w:rPr>
          <w:sz w:val="28"/>
          <w:szCs w:val="28"/>
        </w:rPr>
        <w:t xml:space="preserve"> </w:t>
      </w:r>
      <w:r w:rsidRPr="00B51DC9">
        <w:rPr>
          <w:sz w:val="28"/>
          <w:szCs w:val="28"/>
        </w:rPr>
        <w:t>на</w:t>
      </w:r>
      <w:r w:rsidR="00B84E83">
        <w:rPr>
          <w:sz w:val="28"/>
          <w:szCs w:val="28"/>
        </w:rPr>
        <w:t xml:space="preserve"> </w:t>
      </w:r>
      <w:r w:rsidRPr="00B51DC9">
        <w:rPr>
          <w:sz w:val="28"/>
          <w:szCs w:val="28"/>
        </w:rPr>
        <w:t>фондовом</w:t>
      </w:r>
      <w:r w:rsidR="00B84E83">
        <w:rPr>
          <w:sz w:val="28"/>
          <w:szCs w:val="28"/>
        </w:rPr>
        <w:t xml:space="preserve"> </w:t>
      </w:r>
      <w:r w:rsidRPr="00B51DC9">
        <w:rPr>
          <w:sz w:val="28"/>
          <w:szCs w:val="28"/>
        </w:rPr>
        <w:t>рынке,</w:t>
      </w:r>
      <w:r w:rsidR="00B84E83">
        <w:rPr>
          <w:sz w:val="28"/>
          <w:szCs w:val="28"/>
        </w:rPr>
        <w:t xml:space="preserve"> </w:t>
      </w:r>
      <w:r w:rsidRPr="00B51DC9">
        <w:rPr>
          <w:sz w:val="28"/>
          <w:szCs w:val="28"/>
        </w:rPr>
        <w:t>не</w:t>
      </w:r>
      <w:r w:rsidR="00B84E83">
        <w:rPr>
          <w:sz w:val="28"/>
          <w:szCs w:val="28"/>
        </w:rPr>
        <w:t xml:space="preserve"> </w:t>
      </w:r>
      <w:r w:rsidRPr="00B51DC9">
        <w:rPr>
          <w:sz w:val="28"/>
          <w:szCs w:val="28"/>
        </w:rPr>
        <w:t>предполагающая ограничений на операции с ценными</w:t>
      </w:r>
      <w:r w:rsidR="00B84E83">
        <w:rPr>
          <w:sz w:val="28"/>
          <w:szCs w:val="28"/>
        </w:rPr>
        <w:t xml:space="preserve"> </w:t>
      </w:r>
      <w:r w:rsidRPr="00B51DC9">
        <w:rPr>
          <w:sz w:val="28"/>
          <w:szCs w:val="28"/>
        </w:rPr>
        <w:t>бумагами.</w:t>
      </w:r>
      <w:r w:rsidR="00B84E83">
        <w:rPr>
          <w:sz w:val="28"/>
          <w:szCs w:val="28"/>
        </w:rPr>
        <w:t xml:space="preserve"> </w:t>
      </w:r>
      <w:r w:rsidRPr="00B51DC9">
        <w:rPr>
          <w:sz w:val="28"/>
          <w:szCs w:val="28"/>
        </w:rPr>
        <w:t>Риски</w:t>
      </w:r>
      <w:r w:rsidR="00B84E83">
        <w:rPr>
          <w:sz w:val="28"/>
          <w:szCs w:val="28"/>
        </w:rPr>
        <w:t xml:space="preserve"> </w:t>
      </w:r>
      <w:r w:rsidRPr="00B51DC9">
        <w:rPr>
          <w:sz w:val="28"/>
          <w:szCs w:val="28"/>
        </w:rPr>
        <w:t>банка</w:t>
      </w:r>
      <w:r w:rsidR="00B84E83">
        <w:rPr>
          <w:sz w:val="28"/>
          <w:szCs w:val="28"/>
        </w:rPr>
        <w:t xml:space="preserve"> </w:t>
      </w:r>
      <w:r w:rsidRPr="00B51DC9">
        <w:rPr>
          <w:sz w:val="28"/>
          <w:szCs w:val="28"/>
        </w:rPr>
        <w:t>по</w:t>
      </w:r>
      <w:r w:rsidR="00B84E83">
        <w:rPr>
          <w:sz w:val="28"/>
          <w:szCs w:val="28"/>
        </w:rPr>
        <w:t xml:space="preserve"> </w:t>
      </w:r>
      <w:r w:rsidRPr="00B51DC9">
        <w:rPr>
          <w:sz w:val="28"/>
          <w:szCs w:val="28"/>
        </w:rPr>
        <w:t>операциям</w:t>
      </w:r>
      <w:r w:rsidR="00B84E83">
        <w:rPr>
          <w:sz w:val="28"/>
          <w:szCs w:val="28"/>
        </w:rPr>
        <w:t xml:space="preserve"> </w:t>
      </w:r>
      <w:r w:rsidRPr="00B51DC9">
        <w:rPr>
          <w:sz w:val="28"/>
          <w:szCs w:val="28"/>
        </w:rPr>
        <w:t>с ценными</w:t>
      </w:r>
      <w:r w:rsidR="00B84E83">
        <w:rPr>
          <w:sz w:val="28"/>
          <w:szCs w:val="28"/>
        </w:rPr>
        <w:t xml:space="preserve"> </w:t>
      </w:r>
      <w:r w:rsidRPr="00B51DC9">
        <w:rPr>
          <w:sz w:val="28"/>
          <w:szCs w:val="28"/>
        </w:rPr>
        <w:t>бумагами</w:t>
      </w:r>
      <w:r w:rsidR="00B84E83">
        <w:rPr>
          <w:sz w:val="28"/>
          <w:szCs w:val="28"/>
        </w:rPr>
        <w:t xml:space="preserve"> </w:t>
      </w:r>
      <w:r w:rsidRPr="00B51DC9">
        <w:rPr>
          <w:sz w:val="28"/>
          <w:szCs w:val="28"/>
        </w:rPr>
        <w:t>не</w:t>
      </w:r>
      <w:r w:rsidR="00B84E83">
        <w:rPr>
          <w:sz w:val="28"/>
          <w:szCs w:val="28"/>
        </w:rPr>
        <w:t xml:space="preserve"> </w:t>
      </w:r>
      <w:r w:rsidRPr="00B51DC9">
        <w:rPr>
          <w:sz w:val="28"/>
          <w:szCs w:val="28"/>
        </w:rPr>
        <w:t>разграничены</w:t>
      </w:r>
      <w:r w:rsidR="00B84E83">
        <w:rPr>
          <w:sz w:val="28"/>
          <w:szCs w:val="28"/>
        </w:rPr>
        <w:t xml:space="preserve"> </w:t>
      </w:r>
      <w:r w:rsidRPr="00B51DC9">
        <w:rPr>
          <w:sz w:val="28"/>
          <w:szCs w:val="28"/>
        </w:rPr>
        <w:t>с</w:t>
      </w:r>
      <w:r w:rsidR="00B84E83">
        <w:rPr>
          <w:sz w:val="28"/>
          <w:szCs w:val="28"/>
        </w:rPr>
        <w:t xml:space="preserve"> </w:t>
      </w:r>
      <w:r w:rsidRPr="00B51DC9">
        <w:rPr>
          <w:sz w:val="28"/>
          <w:szCs w:val="28"/>
        </w:rPr>
        <w:t>риском</w:t>
      </w:r>
      <w:r w:rsidR="00B84E83">
        <w:rPr>
          <w:sz w:val="28"/>
          <w:szCs w:val="28"/>
        </w:rPr>
        <w:t xml:space="preserve"> </w:t>
      </w:r>
      <w:r w:rsidRPr="00B51DC9">
        <w:rPr>
          <w:sz w:val="28"/>
          <w:szCs w:val="28"/>
        </w:rPr>
        <w:t>по</w:t>
      </w:r>
      <w:r w:rsidR="00B84E83">
        <w:rPr>
          <w:sz w:val="28"/>
          <w:szCs w:val="28"/>
        </w:rPr>
        <w:t xml:space="preserve"> </w:t>
      </w:r>
      <w:r w:rsidRPr="00B51DC9">
        <w:rPr>
          <w:sz w:val="28"/>
          <w:szCs w:val="28"/>
        </w:rPr>
        <w:t>кредитно-депозитной</w:t>
      </w:r>
      <w:r w:rsidR="00B84E83">
        <w:rPr>
          <w:sz w:val="28"/>
          <w:szCs w:val="28"/>
        </w:rPr>
        <w:t xml:space="preserve"> </w:t>
      </w:r>
      <w:r w:rsidRPr="00B51DC9">
        <w:rPr>
          <w:sz w:val="28"/>
          <w:szCs w:val="28"/>
        </w:rPr>
        <w:t>и расчетной деятельности, в то же время благосостояние</w:t>
      </w:r>
      <w:r w:rsidR="00B84E83">
        <w:rPr>
          <w:sz w:val="28"/>
          <w:szCs w:val="28"/>
        </w:rPr>
        <w:t xml:space="preserve"> </w:t>
      </w:r>
      <w:r w:rsidRPr="00B51DC9">
        <w:rPr>
          <w:sz w:val="28"/>
          <w:szCs w:val="28"/>
        </w:rPr>
        <w:t>банка</w:t>
      </w:r>
      <w:r w:rsidR="00B84E83">
        <w:rPr>
          <w:sz w:val="28"/>
          <w:szCs w:val="28"/>
        </w:rPr>
        <w:t xml:space="preserve"> </w:t>
      </w:r>
      <w:r w:rsidRPr="00B51DC9">
        <w:rPr>
          <w:sz w:val="28"/>
          <w:szCs w:val="28"/>
        </w:rPr>
        <w:t>в</w:t>
      </w:r>
      <w:r w:rsidR="00B84E83">
        <w:rPr>
          <w:sz w:val="28"/>
          <w:szCs w:val="28"/>
        </w:rPr>
        <w:t xml:space="preserve"> </w:t>
      </w:r>
      <w:r w:rsidRPr="00B51DC9">
        <w:rPr>
          <w:sz w:val="28"/>
          <w:szCs w:val="28"/>
        </w:rPr>
        <w:t>значительной степени зависит от положения дел у его клиентов, в</w:t>
      </w:r>
      <w:r w:rsidR="00B84E83">
        <w:rPr>
          <w:sz w:val="28"/>
          <w:szCs w:val="28"/>
        </w:rPr>
        <w:t xml:space="preserve"> </w:t>
      </w:r>
      <w:r w:rsidRPr="00B51DC9">
        <w:rPr>
          <w:sz w:val="28"/>
          <w:szCs w:val="28"/>
        </w:rPr>
        <w:t>оборот</w:t>
      </w:r>
      <w:r w:rsidR="00B84E83">
        <w:rPr>
          <w:sz w:val="28"/>
          <w:szCs w:val="28"/>
        </w:rPr>
        <w:t xml:space="preserve"> </w:t>
      </w:r>
      <w:r w:rsidRPr="00B51DC9">
        <w:rPr>
          <w:sz w:val="28"/>
          <w:szCs w:val="28"/>
        </w:rPr>
        <w:t>которых</w:t>
      </w:r>
      <w:r w:rsidR="00B84E83">
        <w:rPr>
          <w:sz w:val="28"/>
          <w:szCs w:val="28"/>
        </w:rPr>
        <w:t xml:space="preserve"> </w:t>
      </w:r>
      <w:r w:rsidRPr="00B51DC9">
        <w:rPr>
          <w:sz w:val="28"/>
          <w:szCs w:val="28"/>
        </w:rPr>
        <w:t>втянуты значительные</w:t>
      </w:r>
      <w:r w:rsidR="00B84E83">
        <w:rPr>
          <w:sz w:val="28"/>
          <w:szCs w:val="28"/>
        </w:rPr>
        <w:t xml:space="preserve"> </w:t>
      </w:r>
      <w:r w:rsidRPr="00B51DC9">
        <w:rPr>
          <w:sz w:val="28"/>
          <w:szCs w:val="28"/>
        </w:rPr>
        <w:t>средства</w:t>
      </w:r>
      <w:r w:rsidR="00B84E83">
        <w:rPr>
          <w:sz w:val="28"/>
          <w:szCs w:val="28"/>
        </w:rPr>
        <w:t xml:space="preserve"> </w:t>
      </w:r>
      <w:r w:rsidRPr="00B51DC9">
        <w:rPr>
          <w:sz w:val="28"/>
          <w:szCs w:val="28"/>
        </w:rPr>
        <w:t>банка</w:t>
      </w:r>
      <w:r w:rsidR="00B84E83">
        <w:rPr>
          <w:sz w:val="28"/>
          <w:szCs w:val="28"/>
        </w:rPr>
        <w:t xml:space="preserve"> </w:t>
      </w:r>
      <w:r w:rsidRPr="00B51DC9">
        <w:rPr>
          <w:sz w:val="28"/>
          <w:szCs w:val="28"/>
        </w:rPr>
        <w:t>(через</w:t>
      </w:r>
      <w:r w:rsidR="00B84E83">
        <w:rPr>
          <w:sz w:val="28"/>
          <w:szCs w:val="28"/>
        </w:rPr>
        <w:t xml:space="preserve"> </w:t>
      </w:r>
      <w:r w:rsidRPr="00B51DC9">
        <w:rPr>
          <w:sz w:val="28"/>
          <w:szCs w:val="28"/>
        </w:rPr>
        <w:t>участие</w:t>
      </w:r>
      <w:r w:rsidR="00B84E83">
        <w:rPr>
          <w:sz w:val="28"/>
          <w:szCs w:val="28"/>
        </w:rPr>
        <w:t xml:space="preserve"> </w:t>
      </w:r>
      <w:r w:rsidRPr="00B51DC9">
        <w:rPr>
          <w:sz w:val="28"/>
          <w:szCs w:val="28"/>
        </w:rPr>
        <w:t>в</w:t>
      </w:r>
      <w:r w:rsidR="00B84E83">
        <w:rPr>
          <w:sz w:val="28"/>
          <w:szCs w:val="28"/>
        </w:rPr>
        <w:t xml:space="preserve"> </w:t>
      </w:r>
      <w:r w:rsidRPr="00B51DC9">
        <w:rPr>
          <w:sz w:val="28"/>
          <w:szCs w:val="28"/>
        </w:rPr>
        <w:t>уставном</w:t>
      </w:r>
      <w:r w:rsidR="00B84E83">
        <w:rPr>
          <w:sz w:val="28"/>
          <w:szCs w:val="28"/>
        </w:rPr>
        <w:t xml:space="preserve"> </w:t>
      </w:r>
      <w:r w:rsidRPr="00B51DC9">
        <w:rPr>
          <w:sz w:val="28"/>
          <w:szCs w:val="28"/>
        </w:rPr>
        <w:t>капитале</w:t>
      </w:r>
      <w:r w:rsidR="00B84E83">
        <w:rPr>
          <w:sz w:val="28"/>
          <w:szCs w:val="28"/>
        </w:rPr>
        <w:t xml:space="preserve"> </w:t>
      </w:r>
      <w:r w:rsidRPr="00B51DC9">
        <w:rPr>
          <w:sz w:val="28"/>
          <w:szCs w:val="28"/>
        </w:rPr>
        <w:t>и облигационных займах).</w:t>
      </w:r>
    </w:p>
    <w:p w:rsidR="003D0C75" w:rsidRPr="00B51DC9" w:rsidRDefault="00EC27B4" w:rsidP="00B51DC9">
      <w:pPr>
        <w:spacing w:line="360" w:lineRule="auto"/>
        <w:ind w:firstLine="709"/>
        <w:jc w:val="both"/>
        <w:rPr>
          <w:color w:val="000000"/>
          <w:sz w:val="28"/>
          <w:szCs w:val="28"/>
        </w:rPr>
      </w:pPr>
      <w:r w:rsidRPr="00B51DC9">
        <w:rPr>
          <w:color w:val="000000"/>
          <w:sz w:val="28"/>
          <w:szCs w:val="28"/>
        </w:rPr>
        <w:t>В связи с этим при выработке инвестиционной политики коммерческие банки всегда должны исходить из реальных оценок риска, экономической эффективности, финансовой привлекательности инвестиционных проектов, оптимального сочетания кратко-, средне- и долгосрочных вложений. Вместе с тем существующая система инвестирования является не только внутренним делом самого банка. В соответствии с базисными принципами регулирования банковской деятельности неотъемлемой частью любой системы надзора является независимая проверка политики, оперативной деятельности банка и применяемых им процедур, связанных с выдачей кредитов и инвестированием капиталов, а также текущего управления кредитным и инвестиционными портфелями.</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Следовательно, коммерческие банки должны четко отработать и формально закрепить важнейшие мероприятия, связанные с организацией и управлением инвестиционной деятельностью. По существу, речь идет о разработке и реализации обоснованной инвестиционной политики.</w:t>
      </w:r>
    </w:p>
    <w:p w:rsidR="003D0C75" w:rsidRPr="00B51DC9" w:rsidRDefault="003D0C75"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Однако политика, направленная на укрепление банков, время от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времени берущая верх во властных структурах,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отвечает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потребностям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российской экономики.</w:t>
      </w:r>
    </w:p>
    <w:p w:rsidR="003D0C75" w:rsidRPr="00B51DC9" w:rsidRDefault="003D0C75"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По моему мнению, действительно крупные банки способны более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эффективно финансировать перестройку промышленности, они легче поддаются воздействию</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 этом направлении со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стороны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органов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власти.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вызывают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сомнение,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как эффективность такого финансирования, так 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последствия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полного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подчинения промышленного капитала банковскому. В случае полного и быстрого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слияния исчезнет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возможность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перелива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капитала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между</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различными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секторами экономики, поскольку любая инвестиция окажется в конечном итоге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инвестицией в финансовый сектор.</w:t>
      </w:r>
    </w:p>
    <w:p w:rsidR="003D0C75" w:rsidRPr="00B51DC9" w:rsidRDefault="003D0C75"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Кроме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сама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себе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эффективность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крупных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особенно образовавшихся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базе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бывших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специализированных,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также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вызывает</w:t>
      </w:r>
      <w:r w:rsidR="007B37AC">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определенные сомнения. Раздутые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штаты,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затрудненность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выдвижения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молодых перспективных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руководителей,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протекционизм,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зачастую</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пренебрежительное отношение к клиенту</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все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это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снижает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конкурентность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данной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категории банков. Таким образом, искусственное укрупнение банков окажет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отрицательное воздействие и на сами крупные банки, лишив их стимула к совершенствованию.</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Поэтому формирования банковской системы наблюдался быстрый количественный рост кредитных организаций. Их число увеличивалось в основном за счет раздробления бывших государственных специализированных банков, а капитал пополнялся путем перелива бюджетных средств. Но в настоящее время процесс образования новых банков замедлился. В то же время увеличились масштабы и темпы ликвидации неэффективных кредитных организаций. А также ускорился процесс оттока с финансового рынка мелких и средних банков, что связано как с действием рыночных механизмов конкуренции и концентрации.</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xml:space="preserve">Финансовый кризис вызвал резкое ухудшение </w:t>
      </w:r>
      <w:r w:rsidR="00691EE0" w:rsidRPr="00B51DC9">
        <w:rPr>
          <w:color w:val="000000"/>
          <w:sz w:val="28"/>
          <w:szCs w:val="28"/>
        </w:rPr>
        <w:t>ликвидности,</w:t>
      </w:r>
      <w:r w:rsidRPr="00B51DC9">
        <w:rPr>
          <w:color w:val="000000"/>
          <w:sz w:val="28"/>
          <w:szCs w:val="28"/>
        </w:rPr>
        <w:t xml:space="preserve"> и платежеспособности значительной части банков. Доля финансово стабильных банков в общем количестве действующих кредитных учреждений того года резко снизилась с 66 до 56,2%, а доля активов финансово стабильных банков в совокупных активах действующих кредитных организаций уменьшилась с 68,3 до 29,1%.</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В результате кризисных событий большинство финансовых учреждений столкнулось с обострением проблемы формирования ресурсной базы по таким направлениям, как:</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сокращение прироста организованных сбережений и отток вкладов населения;</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утрата возможностей привлечения кредитов от зарубежных кредитных институтов и финансовых компаний;</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остановка межбанковского кредитования;</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снижение уровня банковского капитала.</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Важнейшей задачей на сегодняшний день является преодоление наиболее острых форм банковского кризиса. Однако даже в настоящее время финансовых ресурсов банковской системы России явно недостаточно, так как в сложившейся ситуации банки не осуществляют эффективного перераспределения даже доступного им инвестиционного потенциала.</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В</w:t>
      </w:r>
      <w:r w:rsidR="00B84E83">
        <w:rPr>
          <w:color w:val="000000"/>
          <w:sz w:val="28"/>
          <w:szCs w:val="28"/>
        </w:rPr>
        <w:t xml:space="preserve"> </w:t>
      </w:r>
      <w:r w:rsidRPr="00B51DC9">
        <w:rPr>
          <w:color w:val="000000"/>
          <w:sz w:val="28"/>
          <w:szCs w:val="28"/>
        </w:rPr>
        <w:t xml:space="preserve">плане развития реального и финансового секторов экономики формировались предпосылки не вовлечения, а, напротив, вытеснения банковского капитала из реальной сферы. Сложившаяся зависимость банков от рынка коротких денег при ухудшении финансового положения предприятий и организаций реального сектора экономики привела к накоплению кризисного потенциала. При этом сформировалась взаимосвязь между кризисными процессами в реальном и банковском секторах экономики. Ухудшение финансового положения нефинансовых предприятий и соответствующее сжатие средств на их банковских счетах повлекло за собой уменьшение ресурсной базы коммерческих банков и их вложений в производство. При снижении объема банковских инвестиций и кредитов происходит падение платежеспособности предприятий, что вызывало рост инвестиционных и кредитных рисков. </w:t>
      </w:r>
      <w:r w:rsidR="00691EE0" w:rsidRPr="00B51DC9">
        <w:rPr>
          <w:color w:val="000000"/>
          <w:sz w:val="28"/>
          <w:szCs w:val="28"/>
        </w:rPr>
        <w:t>В свою очередь, рост рисков являлся важнейшим фактором,</w:t>
      </w:r>
      <w:r w:rsidR="00B84E83">
        <w:rPr>
          <w:color w:val="000000"/>
          <w:sz w:val="28"/>
          <w:szCs w:val="28"/>
        </w:rPr>
        <w:t xml:space="preserve"> </w:t>
      </w:r>
      <w:r w:rsidR="00691EE0" w:rsidRPr="00B51DC9">
        <w:rPr>
          <w:color w:val="000000"/>
          <w:sz w:val="28"/>
          <w:szCs w:val="28"/>
        </w:rPr>
        <w:t>инвестиционной деятельности банков, поскольку при возрастании рисков усиливалось противоречие между активизацией инвестирования и задачей сохранения финансовой устойчивости банков.</w:t>
      </w:r>
    </w:p>
    <w:p w:rsidR="00691EE0" w:rsidRPr="00B51DC9" w:rsidRDefault="00691EE0"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sz w:val="28"/>
          <w:szCs w:val="28"/>
        </w:rPr>
        <w:t>Заинтересованность коммерческих банков в эмиссии собственных акций и их размещении на открытом рынке можно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объяснить</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рядом</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обстоятельств.</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Прежде всего, это инфляция, постоянно обесценивающая собственные капиталы</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банка</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и одновременно обуславливающая</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резкое</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увеличение</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«неуправляемых»</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депозитов (остатков</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на</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расчетных</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счетах),</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что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ведет</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к</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нарушению</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нормативов Центрального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Банка</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РФ.</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Инфляция</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лишает</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банки</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возможности</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привлекать долгосрочные депозиты, поэтому для осуществления</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относительно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долгосрочных вложений банки во всевозрастающих размерах должны</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использовать</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собственный капитал. Кроме того,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высокие</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котировки</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банковских</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акций</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рассматриваются банками как способ упрочить свои позиции на рынке, расширить</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сферу</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влияния и привлечь новых клиентов.</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Снижение издержек участников финансового рынка и устранение излишнего государственного администрирования. Для решения этой задачи предполагается максимальное преобразование базовых федеральных законов, касающихся финансового рынка, из «рамочных» - в законы прямого действия, создание условий для стимулирования развития саморегулирования на финансовом рынке. Кроме того, намечаются меры по координации деятельности регулирующих и надзорных органов (в долгосрочной перспективе, возможно, с изменением организационной структуры регулирования и надзора), снижению налоговых и административных издержек участников рынка.</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Расширение спектра и повышение эффективности использования финансовых инструментов. Намечается ограничиться общим оздоровлением (унификация, упрощение, отмена излишних ограничений) нормативной базы функционирования отдельных сегментов и технологических процедур финансового рынка и его регулирования.</w:t>
      </w:r>
    </w:p>
    <w:p w:rsidR="003D0C75" w:rsidRPr="00B51DC9" w:rsidRDefault="00691EE0" w:rsidP="00B51DC9">
      <w:pPr>
        <w:spacing w:line="360" w:lineRule="auto"/>
        <w:ind w:firstLine="709"/>
        <w:jc w:val="both"/>
        <w:rPr>
          <w:color w:val="000000"/>
          <w:sz w:val="28"/>
          <w:szCs w:val="28"/>
        </w:rPr>
      </w:pPr>
      <w:r w:rsidRPr="00B51DC9">
        <w:rPr>
          <w:color w:val="000000"/>
          <w:sz w:val="28"/>
          <w:szCs w:val="28"/>
        </w:rPr>
        <w:t>Обеспечение условий конкуренции на финансовом рынке. Решение этой задачи предусматривает согласование стратегий развития финансовых институтов с государственным участием, перенос финансирования части задач этих институтов с федерального бюджета на финансовый рынок, выход государства из капитала финансовых институтов, не выполняющих специализированные государственные задачи, ужесточение мер антимонопольной политики, в особенности, в области госзакупок финансовых услуг.</w:t>
      </w:r>
    </w:p>
    <w:p w:rsidR="00EC27B4" w:rsidRPr="007B37AC" w:rsidRDefault="007B37AC" w:rsidP="007B37AC">
      <w:pPr>
        <w:spacing w:line="360" w:lineRule="auto"/>
        <w:ind w:firstLine="709"/>
        <w:jc w:val="center"/>
        <w:rPr>
          <w:b/>
          <w:bCs/>
          <w:sz w:val="28"/>
          <w:szCs w:val="28"/>
        </w:rPr>
      </w:pPr>
      <w:r>
        <w:rPr>
          <w:color w:val="000000"/>
          <w:sz w:val="28"/>
          <w:szCs w:val="28"/>
        </w:rPr>
        <w:br w:type="page"/>
      </w:r>
      <w:r w:rsidR="00691EE0" w:rsidRPr="007B37AC">
        <w:rPr>
          <w:b/>
          <w:bCs/>
          <w:sz w:val="28"/>
          <w:szCs w:val="28"/>
        </w:rPr>
        <w:t>ЗАКЛЮЧЕНИЕ</w:t>
      </w:r>
    </w:p>
    <w:p w:rsidR="00691EE0" w:rsidRPr="00B51DC9" w:rsidRDefault="00691EE0" w:rsidP="00B51DC9">
      <w:pPr>
        <w:spacing w:line="360" w:lineRule="auto"/>
        <w:ind w:firstLine="709"/>
        <w:jc w:val="both"/>
        <w:rPr>
          <w:sz w:val="28"/>
          <w:szCs w:val="28"/>
        </w:rPr>
      </w:pPr>
    </w:p>
    <w:p w:rsidR="00082369" w:rsidRPr="00B51DC9" w:rsidRDefault="00691EE0" w:rsidP="00B51DC9">
      <w:pPr>
        <w:spacing w:line="360" w:lineRule="auto"/>
        <w:ind w:firstLine="709"/>
        <w:jc w:val="both"/>
        <w:rPr>
          <w:sz w:val="28"/>
          <w:szCs w:val="28"/>
        </w:rPr>
      </w:pPr>
      <w:r w:rsidRPr="00B51DC9">
        <w:rPr>
          <w:sz w:val="28"/>
          <w:szCs w:val="28"/>
        </w:rPr>
        <w:t>Исходя из всего выше изложенного, можно сделать следующие выводы. В общем виде рынок ценных бумаг можно определить как совокупность экономических отношений по поводу выпуска и обращения ценных бумаг между его участниками.</w:t>
      </w:r>
    </w:p>
    <w:p w:rsidR="005C1BAE" w:rsidRPr="00B51DC9" w:rsidRDefault="005C1BAE"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Наиболее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разработаны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методическом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отношении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наиболее</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регламентированы операции коммерческих банков по эмиссии собственных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ценных</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бумаг. Коммерческие банки могут выступать в качестве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эмитентов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собственных</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акций, облигаций,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векселей,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депозитных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сберегательных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сертификатов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других ценных бумаг.</w:t>
      </w:r>
    </w:p>
    <w:p w:rsidR="005C1BAE" w:rsidRPr="00B51DC9" w:rsidRDefault="005C1BAE"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 xml:space="preserve">Банковская </w:t>
      </w:r>
      <w:r w:rsidR="00061991" w:rsidRPr="00B51DC9">
        <w:rPr>
          <w:rFonts w:ascii="Times New Roman" w:hAnsi="Times New Roman" w:cs="Times New Roman"/>
          <w:color w:val="000000"/>
          <w:sz w:val="28"/>
          <w:szCs w:val="28"/>
        </w:rPr>
        <w:t>деятельность достаточно жестко к</w:t>
      </w:r>
      <w:r w:rsidRPr="00B51DC9">
        <w:rPr>
          <w:rFonts w:ascii="Times New Roman" w:hAnsi="Times New Roman" w:cs="Times New Roman"/>
          <w:color w:val="000000"/>
          <w:sz w:val="28"/>
          <w:szCs w:val="28"/>
        </w:rPr>
        <w:t>онтролируется</w:t>
      </w:r>
      <w:r w:rsidR="00B84E83">
        <w:rPr>
          <w:rFonts w:ascii="Times New Roman" w:hAnsi="Times New Roman" w:cs="Times New Roman"/>
          <w:color w:val="000000"/>
          <w:sz w:val="28"/>
          <w:szCs w:val="28"/>
        </w:rPr>
        <w:t xml:space="preserve"> </w:t>
      </w:r>
      <w:r w:rsidR="00061991" w:rsidRPr="00B51DC9">
        <w:rPr>
          <w:rFonts w:ascii="Times New Roman" w:hAnsi="Times New Roman" w:cs="Times New Roman"/>
          <w:color w:val="000000"/>
          <w:sz w:val="28"/>
          <w:szCs w:val="28"/>
        </w:rPr>
        <w:t>ц</w:t>
      </w:r>
      <w:r w:rsidRPr="00B51DC9">
        <w:rPr>
          <w:rFonts w:ascii="Times New Roman" w:hAnsi="Times New Roman" w:cs="Times New Roman"/>
          <w:color w:val="000000"/>
          <w:sz w:val="28"/>
          <w:szCs w:val="28"/>
        </w:rPr>
        <w:t>ентральным</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Банком РФ и является объектом тщательного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анализа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других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заинтересованных</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организаций.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постоянно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публикуют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результаты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своей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финансовой</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деятельности, отчетные балансы, отчитываются перед</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Центральным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РФ</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широкому</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кругу</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показателей.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Это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позволяет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проводить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объективную</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рейтинговую оценку их работы, что повышает надежность банковских акций.</w:t>
      </w:r>
    </w:p>
    <w:p w:rsidR="005C1BAE" w:rsidRPr="00B51DC9" w:rsidRDefault="005C1BAE"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Эмиссии банковских облигаций в России пока широко не практикуются.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Это</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объясняется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тем,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что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инвесторы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пока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способны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долгосрочное</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инвестирование средств. Но я думаю, что с развитием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рынка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ценных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бумаг</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стабилизацией экономики в целом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банковские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облигации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займут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значительное</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место на финансовом рынке.</w:t>
      </w:r>
    </w:p>
    <w:p w:rsidR="00B931C1" w:rsidRPr="00B51DC9" w:rsidRDefault="00B931C1" w:rsidP="00B51DC9">
      <w:pPr>
        <w:pStyle w:val="3"/>
        <w:spacing w:after="0" w:line="360" w:lineRule="auto"/>
        <w:ind w:left="0" w:firstLine="709"/>
        <w:jc w:val="both"/>
        <w:rPr>
          <w:kern w:val="2"/>
          <w:sz w:val="28"/>
          <w:szCs w:val="28"/>
        </w:rPr>
      </w:pPr>
      <w:r w:rsidRPr="00B51DC9">
        <w:rPr>
          <w:kern w:val="2"/>
          <w:sz w:val="28"/>
          <w:szCs w:val="28"/>
        </w:rPr>
        <w:t>Коммерческие банки в России могут выполнять все виды деятельности и все виды операций на рынке ценных бумаг, разрешенные действующим законодательством: брокерскую и дилерскую деятельность, управление инвестициями и фондами, расчетное обслуживание участников рынка ценных бумаг, ведение реестра и депозитарное обслуживание, консультационная деятельность и т.д.</w:t>
      </w:r>
    </w:p>
    <w:p w:rsidR="00D93EF4" w:rsidRPr="007B37AC" w:rsidRDefault="007B37AC" w:rsidP="0053455B">
      <w:pPr>
        <w:pStyle w:val="3"/>
        <w:spacing w:after="0" w:line="360" w:lineRule="auto"/>
        <w:ind w:left="0"/>
        <w:rPr>
          <w:b/>
          <w:bCs/>
          <w:kern w:val="2"/>
          <w:sz w:val="28"/>
          <w:szCs w:val="28"/>
        </w:rPr>
      </w:pPr>
      <w:r>
        <w:rPr>
          <w:color w:val="000000"/>
          <w:sz w:val="28"/>
          <w:szCs w:val="28"/>
        </w:rPr>
        <w:br w:type="page"/>
      </w:r>
      <w:r w:rsidR="00D93EF4" w:rsidRPr="007B37AC">
        <w:rPr>
          <w:b/>
          <w:bCs/>
          <w:kern w:val="2"/>
          <w:sz w:val="28"/>
          <w:szCs w:val="28"/>
        </w:rPr>
        <w:t>СПИСОК ИСПОЛЬЗОВАННЫХ ИСТОЧНИКОВ И ЛИТЕРАТУРЫ</w:t>
      </w:r>
    </w:p>
    <w:p w:rsidR="00D93EF4" w:rsidRPr="00B51DC9" w:rsidRDefault="00D93EF4" w:rsidP="00B51DC9">
      <w:pPr>
        <w:pStyle w:val="3"/>
        <w:spacing w:after="0" w:line="360" w:lineRule="auto"/>
        <w:ind w:left="0" w:firstLine="709"/>
        <w:jc w:val="both"/>
        <w:rPr>
          <w:kern w:val="2"/>
          <w:sz w:val="28"/>
          <w:szCs w:val="28"/>
        </w:rPr>
      </w:pP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Банковское дело: учебник/О.И. Лаврушин, И.Д. Мамонова, Н.И. Валенцева; - М.: КНОРУС, 2006. –</w:t>
      </w:r>
      <w:r w:rsidR="00B84E83">
        <w:rPr>
          <w:sz w:val="28"/>
          <w:szCs w:val="28"/>
        </w:rPr>
        <w:t xml:space="preserve"> </w:t>
      </w:r>
      <w:r w:rsidRPr="00B51DC9">
        <w:rPr>
          <w:sz w:val="28"/>
          <w:szCs w:val="28"/>
        </w:rPr>
        <w:t>624с.</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Брызгалин А.В., Берник В.Р., Головкин А.Н., Гринемаер Е.А. Векселя и взаимозачеты: Налогообложение и бухгалте</w:t>
      </w:r>
      <w:r w:rsidR="00FF3551" w:rsidRPr="00B51DC9">
        <w:rPr>
          <w:sz w:val="28"/>
          <w:szCs w:val="28"/>
        </w:rPr>
        <w:t>рский учет. М.: АН – Пресс, 2004</w:t>
      </w:r>
      <w:r w:rsidRPr="00B51DC9">
        <w:rPr>
          <w:sz w:val="28"/>
          <w:szCs w:val="28"/>
        </w:rPr>
        <w:t>. – 320 с.</w:t>
      </w:r>
    </w:p>
    <w:p w:rsidR="005E385B" w:rsidRPr="00B51DC9" w:rsidRDefault="005E385B"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Барыбин В.В., Крыксин Г.В. Перспективы развития банковского сектора. 4/2006. 20-25с.</w:t>
      </w:r>
    </w:p>
    <w:p w:rsidR="00FF3551" w:rsidRPr="00B51DC9" w:rsidRDefault="004E27FE"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Савиров О.Ю. Деньги, кредит банки. Серия «Учебники, учебные пособия</w:t>
      </w:r>
      <w:r w:rsidR="00FF3551" w:rsidRPr="00B51DC9">
        <w:rPr>
          <w:sz w:val="28"/>
          <w:szCs w:val="28"/>
        </w:rPr>
        <w:t>». Росто-на-дону: «Феникс», 2004. – 448 с.</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Гражданский кодекс Российской Федерации. Части пе</w:t>
      </w:r>
      <w:r w:rsidR="00FF3551" w:rsidRPr="00B51DC9">
        <w:rPr>
          <w:sz w:val="28"/>
          <w:szCs w:val="28"/>
        </w:rPr>
        <w:t>рвая и вторая. М.: Инфра-М, 2007</w:t>
      </w:r>
      <w:r w:rsidRPr="00B51DC9">
        <w:rPr>
          <w:sz w:val="28"/>
          <w:szCs w:val="28"/>
        </w:rPr>
        <w:t>.- 560 с.</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Налоговый кодекс Российской Федерации. Части первая и вторая. М.: Ко</w:t>
      </w:r>
      <w:r w:rsidR="00FF3551" w:rsidRPr="00B51DC9">
        <w:rPr>
          <w:sz w:val="28"/>
          <w:szCs w:val="28"/>
        </w:rPr>
        <w:t>декс, 2007</w:t>
      </w:r>
      <w:r w:rsidRPr="00B51DC9">
        <w:rPr>
          <w:sz w:val="28"/>
          <w:szCs w:val="28"/>
        </w:rPr>
        <w:t>. – 680с.</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Федеральный закон Российской Федерации «О банках и банковской деятельности» от 21.03.2002 г. // Финансы и кредит. 2002.</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Федеральный закон «О рынке ценных бумаг» от 22 апреля 1996г. № 39 ФЗ (с изменениями от 26 ноября 1998г., 8 июля 1999г., 7 августа 2001г.,28 декабря 2002г., 29 июня, 28 июля 2004г.)</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Федеральный закон «О центральном банке Российской Федерации» от 26.04.2002 г.</w:t>
      </w:r>
      <w:bookmarkStart w:id="0" w:name="_GoBack"/>
      <w:bookmarkEnd w:id="0"/>
    </w:p>
    <w:sectPr w:rsidR="00D93EF4" w:rsidRPr="00B51DC9" w:rsidSect="00C84E01">
      <w:footerReference w:type="default" r:id="rId7"/>
      <w:pgSz w:w="11906" w:h="16838"/>
      <w:pgMar w:top="1134" w:right="851" w:bottom="1134" w:left="1701" w:header="709" w:footer="709" w:gutter="0"/>
      <w:pgNumType w:start="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AA1" w:rsidRDefault="00411AA1">
      <w:r>
        <w:separator/>
      </w:r>
    </w:p>
  </w:endnote>
  <w:endnote w:type="continuationSeparator" w:id="0">
    <w:p w:rsidR="00411AA1" w:rsidRDefault="00411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55B" w:rsidRDefault="0053455B">
    <w:pPr>
      <w:pStyle w:val="ae"/>
      <w:jc w:val="right"/>
    </w:pPr>
    <w:r>
      <w:fldChar w:fldCharType="begin"/>
    </w:r>
    <w:r>
      <w:instrText xml:space="preserve"> PAGE   \* MERGEFORMAT </w:instrText>
    </w:r>
    <w:r>
      <w:fldChar w:fldCharType="separate"/>
    </w:r>
    <w:r w:rsidR="00055178">
      <w:rPr>
        <w:noProof/>
      </w:rPr>
      <w:t>11</w:t>
    </w:r>
    <w:r>
      <w:fldChar w:fldCharType="end"/>
    </w:r>
  </w:p>
  <w:p w:rsidR="0053455B" w:rsidRDefault="0053455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AA1" w:rsidRDefault="00411AA1">
      <w:r>
        <w:separator/>
      </w:r>
    </w:p>
  </w:footnote>
  <w:footnote w:type="continuationSeparator" w:id="0">
    <w:p w:rsidR="00411AA1" w:rsidRDefault="00411A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35AF8"/>
    <w:multiLevelType w:val="hybridMultilevel"/>
    <w:tmpl w:val="6EA414BA"/>
    <w:lvl w:ilvl="0" w:tplc="1F8E02A2">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
    <w:nsid w:val="29666B1E"/>
    <w:multiLevelType w:val="hybridMultilevel"/>
    <w:tmpl w:val="F320C5E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C376596"/>
    <w:multiLevelType w:val="hybridMultilevel"/>
    <w:tmpl w:val="7F66EE8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0F84E85"/>
    <w:multiLevelType w:val="hybridMultilevel"/>
    <w:tmpl w:val="291A45EE"/>
    <w:lvl w:ilvl="0" w:tplc="07B4C16C">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4">
    <w:nsid w:val="44C172D4"/>
    <w:multiLevelType w:val="hybridMultilevel"/>
    <w:tmpl w:val="1C566764"/>
    <w:lvl w:ilvl="0" w:tplc="C114CBEE">
      <w:start w:val="2"/>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nsid w:val="56595509"/>
    <w:multiLevelType w:val="hybridMultilevel"/>
    <w:tmpl w:val="EA18527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7CA3064"/>
    <w:multiLevelType w:val="hybridMultilevel"/>
    <w:tmpl w:val="297CF92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AE66029"/>
    <w:multiLevelType w:val="hybridMultilevel"/>
    <w:tmpl w:val="955699D6"/>
    <w:lvl w:ilvl="0" w:tplc="15ACEEFA">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B4212A2"/>
    <w:multiLevelType w:val="hybridMultilevel"/>
    <w:tmpl w:val="A8D46090"/>
    <w:lvl w:ilvl="0" w:tplc="CFE62DC8">
      <w:start w:val="1"/>
      <w:numFmt w:val="decimal"/>
      <w:lvlText w:val="%1)"/>
      <w:lvlJc w:val="left"/>
      <w:pPr>
        <w:tabs>
          <w:tab w:val="num" w:pos="1083"/>
        </w:tabs>
        <w:ind w:left="1083" w:hanging="37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9">
    <w:nsid w:val="707A3834"/>
    <w:multiLevelType w:val="hybridMultilevel"/>
    <w:tmpl w:val="E1F64C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71D5955"/>
    <w:multiLevelType w:val="hybridMultilevel"/>
    <w:tmpl w:val="D04C7758"/>
    <w:lvl w:ilvl="0" w:tplc="463266F2">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1">
    <w:nsid w:val="7DBA1C96"/>
    <w:multiLevelType w:val="hybridMultilevel"/>
    <w:tmpl w:val="67EA0A1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4"/>
  </w:num>
  <w:num w:numId="3">
    <w:abstractNumId w:val="11"/>
  </w:num>
  <w:num w:numId="4">
    <w:abstractNumId w:val="5"/>
  </w:num>
  <w:num w:numId="5">
    <w:abstractNumId w:val="1"/>
  </w:num>
  <w:num w:numId="6">
    <w:abstractNumId w:val="10"/>
  </w:num>
  <w:num w:numId="7">
    <w:abstractNumId w:val="9"/>
  </w:num>
  <w:num w:numId="8">
    <w:abstractNumId w:val="2"/>
  </w:num>
  <w:num w:numId="9">
    <w:abstractNumId w:val="0"/>
  </w:num>
  <w:num w:numId="10">
    <w:abstractNumId w:val="7"/>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EFC"/>
    <w:rsid w:val="00007EEB"/>
    <w:rsid w:val="00055178"/>
    <w:rsid w:val="00061991"/>
    <w:rsid w:val="00082369"/>
    <w:rsid w:val="00082C91"/>
    <w:rsid w:val="00095BBA"/>
    <w:rsid w:val="000C7A3D"/>
    <w:rsid w:val="000D657A"/>
    <w:rsid w:val="000E4146"/>
    <w:rsid w:val="000F077E"/>
    <w:rsid w:val="00100410"/>
    <w:rsid w:val="00116559"/>
    <w:rsid w:val="001770A7"/>
    <w:rsid w:val="0018588D"/>
    <w:rsid w:val="00196CE5"/>
    <w:rsid w:val="001A1504"/>
    <w:rsid w:val="00204C6B"/>
    <w:rsid w:val="002156B9"/>
    <w:rsid w:val="00235350"/>
    <w:rsid w:val="00264316"/>
    <w:rsid w:val="00293986"/>
    <w:rsid w:val="002C077C"/>
    <w:rsid w:val="002C6075"/>
    <w:rsid w:val="002D4871"/>
    <w:rsid w:val="003061D9"/>
    <w:rsid w:val="00333925"/>
    <w:rsid w:val="00336E7D"/>
    <w:rsid w:val="00355D2F"/>
    <w:rsid w:val="0036675C"/>
    <w:rsid w:val="0039399B"/>
    <w:rsid w:val="003A38D6"/>
    <w:rsid w:val="003B6AC5"/>
    <w:rsid w:val="003D0C75"/>
    <w:rsid w:val="003D0D1D"/>
    <w:rsid w:val="003D6EBD"/>
    <w:rsid w:val="004046FD"/>
    <w:rsid w:val="00404914"/>
    <w:rsid w:val="00411AA1"/>
    <w:rsid w:val="00414FA5"/>
    <w:rsid w:val="0043252F"/>
    <w:rsid w:val="00463860"/>
    <w:rsid w:val="0047302C"/>
    <w:rsid w:val="00473A50"/>
    <w:rsid w:val="004A3DC6"/>
    <w:rsid w:val="004E27FE"/>
    <w:rsid w:val="00512FF9"/>
    <w:rsid w:val="005158CA"/>
    <w:rsid w:val="00517819"/>
    <w:rsid w:val="0053455B"/>
    <w:rsid w:val="00581F4D"/>
    <w:rsid w:val="00583887"/>
    <w:rsid w:val="005A6AE4"/>
    <w:rsid w:val="005C1BAE"/>
    <w:rsid w:val="005D74FA"/>
    <w:rsid w:val="005E385B"/>
    <w:rsid w:val="005F4F71"/>
    <w:rsid w:val="005F7EFC"/>
    <w:rsid w:val="00603367"/>
    <w:rsid w:val="00615B2B"/>
    <w:rsid w:val="00626949"/>
    <w:rsid w:val="00657525"/>
    <w:rsid w:val="00660098"/>
    <w:rsid w:val="00664307"/>
    <w:rsid w:val="00664FEC"/>
    <w:rsid w:val="00665635"/>
    <w:rsid w:val="0067153E"/>
    <w:rsid w:val="00676A76"/>
    <w:rsid w:val="00680DC0"/>
    <w:rsid w:val="00691EE0"/>
    <w:rsid w:val="006B0A3B"/>
    <w:rsid w:val="006C4207"/>
    <w:rsid w:val="006D6165"/>
    <w:rsid w:val="006E7D43"/>
    <w:rsid w:val="007001E9"/>
    <w:rsid w:val="0073269D"/>
    <w:rsid w:val="00754FE1"/>
    <w:rsid w:val="007B37AC"/>
    <w:rsid w:val="007C2012"/>
    <w:rsid w:val="007F47A6"/>
    <w:rsid w:val="00831A65"/>
    <w:rsid w:val="00874C79"/>
    <w:rsid w:val="008871BB"/>
    <w:rsid w:val="008A167E"/>
    <w:rsid w:val="00914D7C"/>
    <w:rsid w:val="00927782"/>
    <w:rsid w:val="009570DC"/>
    <w:rsid w:val="00957CD8"/>
    <w:rsid w:val="00972F14"/>
    <w:rsid w:val="00975934"/>
    <w:rsid w:val="0097772A"/>
    <w:rsid w:val="00996DCF"/>
    <w:rsid w:val="0099739E"/>
    <w:rsid w:val="009A49D6"/>
    <w:rsid w:val="009D0132"/>
    <w:rsid w:val="009D0EEC"/>
    <w:rsid w:val="009E0A65"/>
    <w:rsid w:val="00A065D4"/>
    <w:rsid w:val="00AB2D29"/>
    <w:rsid w:val="00AE70EB"/>
    <w:rsid w:val="00AF1C2C"/>
    <w:rsid w:val="00B047CA"/>
    <w:rsid w:val="00B51DC9"/>
    <w:rsid w:val="00B731AB"/>
    <w:rsid w:val="00B802B0"/>
    <w:rsid w:val="00B827DE"/>
    <w:rsid w:val="00B84E83"/>
    <w:rsid w:val="00B903B9"/>
    <w:rsid w:val="00B931C1"/>
    <w:rsid w:val="00BA1CA2"/>
    <w:rsid w:val="00BB0227"/>
    <w:rsid w:val="00BB4021"/>
    <w:rsid w:val="00BC3AA3"/>
    <w:rsid w:val="00BD2687"/>
    <w:rsid w:val="00BD609D"/>
    <w:rsid w:val="00C07EA2"/>
    <w:rsid w:val="00C84E01"/>
    <w:rsid w:val="00C8547E"/>
    <w:rsid w:val="00CA1667"/>
    <w:rsid w:val="00CA1D33"/>
    <w:rsid w:val="00CC4627"/>
    <w:rsid w:val="00CF2DA7"/>
    <w:rsid w:val="00D0601A"/>
    <w:rsid w:val="00D134B6"/>
    <w:rsid w:val="00D80F2E"/>
    <w:rsid w:val="00D93EF4"/>
    <w:rsid w:val="00DB18B9"/>
    <w:rsid w:val="00E0015D"/>
    <w:rsid w:val="00E07830"/>
    <w:rsid w:val="00E24E86"/>
    <w:rsid w:val="00E44EAA"/>
    <w:rsid w:val="00EC27B4"/>
    <w:rsid w:val="00EE4F94"/>
    <w:rsid w:val="00F01139"/>
    <w:rsid w:val="00F031D4"/>
    <w:rsid w:val="00F30212"/>
    <w:rsid w:val="00F365AE"/>
    <w:rsid w:val="00F4564F"/>
    <w:rsid w:val="00F80398"/>
    <w:rsid w:val="00FA2D95"/>
    <w:rsid w:val="00FB16E8"/>
    <w:rsid w:val="00FD720B"/>
    <w:rsid w:val="00FF3551"/>
    <w:rsid w:val="00FF6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119268-7A7A-42DD-A066-4BE21705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link w:val="50"/>
    <w:uiPriority w:val="99"/>
    <w:qFormat/>
    <w:rsid w:val="00007EEB"/>
    <w:pPr>
      <w:keepNext/>
      <w:jc w:val="both"/>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Pr>
      <w:rFonts w:ascii="Calibri" w:eastAsia="Times New Roman" w:hAnsi="Calibri" w:cs="Times New Roman"/>
      <w:b/>
      <w:bCs/>
      <w:i/>
      <w:iCs/>
      <w:sz w:val="26"/>
      <w:szCs w:val="26"/>
    </w:rPr>
  </w:style>
  <w:style w:type="paragraph" w:styleId="3">
    <w:name w:val="Body Text Indent 3"/>
    <w:basedOn w:val="a"/>
    <w:link w:val="30"/>
    <w:uiPriority w:val="99"/>
    <w:rsid w:val="00676A76"/>
    <w:pPr>
      <w:spacing w:after="120"/>
      <w:ind w:left="283"/>
    </w:pPr>
    <w:rPr>
      <w:sz w:val="16"/>
      <w:szCs w:val="16"/>
    </w:rPr>
  </w:style>
  <w:style w:type="character" w:customStyle="1" w:styleId="30">
    <w:name w:val="Основний текст з відступом 3 Знак"/>
    <w:basedOn w:val="a0"/>
    <w:link w:val="3"/>
    <w:uiPriority w:val="99"/>
    <w:semiHidden/>
    <w:rPr>
      <w:sz w:val="16"/>
      <w:szCs w:val="16"/>
    </w:rPr>
  </w:style>
  <w:style w:type="paragraph" w:styleId="a3">
    <w:name w:val="Body Text"/>
    <w:basedOn w:val="a"/>
    <w:link w:val="a4"/>
    <w:uiPriority w:val="99"/>
    <w:rsid w:val="00D93EF4"/>
    <w:pPr>
      <w:spacing w:after="120"/>
    </w:pPr>
  </w:style>
  <w:style w:type="character" w:customStyle="1" w:styleId="a4">
    <w:name w:val="Основний текст Знак"/>
    <w:basedOn w:val="a0"/>
    <w:link w:val="a3"/>
    <w:uiPriority w:val="99"/>
    <w:semiHidden/>
    <w:rPr>
      <w:sz w:val="24"/>
      <w:szCs w:val="24"/>
    </w:rPr>
  </w:style>
  <w:style w:type="character" w:styleId="a5">
    <w:name w:val="Hyperlink"/>
    <w:basedOn w:val="a0"/>
    <w:uiPriority w:val="99"/>
    <w:rsid w:val="005C1BAE"/>
    <w:rPr>
      <w:color w:val="008000"/>
      <w:u w:val="single"/>
    </w:rPr>
  </w:style>
  <w:style w:type="paragraph" w:styleId="HTML">
    <w:name w:val="HTML Preformatted"/>
    <w:basedOn w:val="a"/>
    <w:link w:val="HTML0"/>
    <w:uiPriority w:val="99"/>
    <w:rsid w:val="005C1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Pr>
      <w:rFonts w:ascii="Courier New" w:hAnsi="Courier New" w:cs="Courier New"/>
      <w:sz w:val="20"/>
      <w:szCs w:val="20"/>
    </w:rPr>
  </w:style>
  <w:style w:type="paragraph" w:styleId="a6">
    <w:name w:val="header"/>
    <w:basedOn w:val="a"/>
    <w:link w:val="a7"/>
    <w:uiPriority w:val="99"/>
    <w:rsid w:val="00B903B9"/>
    <w:pPr>
      <w:tabs>
        <w:tab w:val="center" w:pos="4677"/>
        <w:tab w:val="right" w:pos="9355"/>
      </w:tabs>
    </w:pPr>
  </w:style>
  <w:style w:type="character" w:customStyle="1" w:styleId="a7">
    <w:name w:val="Верхній колонтитул Знак"/>
    <w:basedOn w:val="a0"/>
    <w:link w:val="a6"/>
    <w:uiPriority w:val="99"/>
    <w:semiHidden/>
    <w:rPr>
      <w:sz w:val="24"/>
      <w:szCs w:val="24"/>
    </w:rPr>
  </w:style>
  <w:style w:type="character" w:styleId="a8">
    <w:name w:val="page number"/>
    <w:basedOn w:val="a0"/>
    <w:uiPriority w:val="99"/>
    <w:rsid w:val="00B903B9"/>
  </w:style>
  <w:style w:type="paragraph" w:styleId="a9">
    <w:name w:val="footnote text"/>
    <w:basedOn w:val="a"/>
    <w:link w:val="aa"/>
    <w:uiPriority w:val="99"/>
    <w:semiHidden/>
    <w:rsid w:val="00AB2D29"/>
    <w:rPr>
      <w:sz w:val="20"/>
      <w:szCs w:val="20"/>
    </w:rPr>
  </w:style>
  <w:style w:type="character" w:customStyle="1" w:styleId="aa">
    <w:name w:val="Текст виноски Знак"/>
    <w:basedOn w:val="a0"/>
    <w:link w:val="a9"/>
    <w:uiPriority w:val="99"/>
    <w:semiHidden/>
    <w:rPr>
      <w:sz w:val="20"/>
      <w:szCs w:val="20"/>
    </w:rPr>
  </w:style>
  <w:style w:type="character" w:styleId="ab">
    <w:name w:val="footnote reference"/>
    <w:basedOn w:val="a0"/>
    <w:uiPriority w:val="99"/>
    <w:semiHidden/>
    <w:rsid w:val="00AB2D29"/>
    <w:rPr>
      <w:vertAlign w:val="superscript"/>
    </w:rPr>
  </w:style>
  <w:style w:type="paragraph" w:styleId="2">
    <w:name w:val="Body Text Indent 2"/>
    <w:basedOn w:val="a"/>
    <w:link w:val="20"/>
    <w:uiPriority w:val="99"/>
    <w:rsid w:val="00007EEB"/>
    <w:pPr>
      <w:spacing w:after="120" w:line="480" w:lineRule="auto"/>
      <w:ind w:left="283"/>
    </w:pPr>
  </w:style>
  <w:style w:type="character" w:customStyle="1" w:styleId="20">
    <w:name w:val="Основний текст з відступом 2 Знак"/>
    <w:basedOn w:val="a0"/>
    <w:link w:val="2"/>
    <w:uiPriority w:val="99"/>
    <w:semiHidden/>
    <w:rPr>
      <w:sz w:val="24"/>
      <w:szCs w:val="24"/>
    </w:rPr>
  </w:style>
  <w:style w:type="paragraph" w:customStyle="1" w:styleId="ac">
    <w:name w:val="таблица"/>
    <w:basedOn w:val="a"/>
    <w:uiPriority w:val="99"/>
    <w:rsid w:val="00007EEB"/>
    <w:pPr>
      <w:jc w:val="center"/>
    </w:pPr>
  </w:style>
  <w:style w:type="paragraph" w:styleId="ad">
    <w:name w:val="Block Text"/>
    <w:basedOn w:val="a"/>
    <w:uiPriority w:val="99"/>
    <w:rsid w:val="00007EEB"/>
    <w:pPr>
      <w:spacing w:line="360" w:lineRule="auto"/>
      <w:ind w:left="120" w:right="195"/>
    </w:pPr>
    <w:rPr>
      <w:sz w:val="20"/>
      <w:szCs w:val="20"/>
    </w:rPr>
  </w:style>
  <w:style w:type="paragraph" w:styleId="ae">
    <w:name w:val="footer"/>
    <w:basedOn w:val="a"/>
    <w:link w:val="af"/>
    <w:uiPriority w:val="99"/>
    <w:rsid w:val="008871BB"/>
    <w:pPr>
      <w:tabs>
        <w:tab w:val="center" w:pos="4677"/>
        <w:tab w:val="right" w:pos="9355"/>
      </w:tabs>
    </w:pPr>
  </w:style>
  <w:style w:type="character" w:customStyle="1" w:styleId="af">
    <w:name w:val="Нижній колонтитул Знак"/>
    <w:basedOn w:val="a0"/>
    <w:link w:val="ae"/>
    <w:uiPriority w:val="99"/>
    <w:rPr>
      <w:sz w:val="24"/>
      <w:szCs w:val="24"/>
    </w:rPr>
  </w:style>
  <w:style w:type="paragraph" w:styleId="af0">
    <w:name w:val="Normal (Web)"/>
    <w:basedOn w:val="a"/>
    <w:uiPriority w:val="99"/>
    <w:rsid w:val="002D48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01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2455</Words>
  <Characters>13999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cp:lastModifiedBy>Irina</cp:lastModifiedBy>
  <cp:revision>2</cp:revision>
  <dcterms:created xsi:type="dcterms:W3CDTF">2014-10-31T18:15:00Z</dcterms:created>
  <dcterms:modified xsi:type="dcterms:W3CDTF">2014-10-31T18:15:00Z</dcterms:modified>
</cp:coreProperties>
</file>