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E18" w:rsidRDefault="00D50E18">
      <w:pPr>
        <w:pStyle w:val="a4"/>
      </w:pPr>
      <w:r>
        <w:t>Государственное регулирование экономики.</w:t>
      </w:r>
    </w:p>
    <w:p w:rsidR="00D50E18" w:rsidRDefault="00D50E18"/>
    <w:p w:rsidR="00D50E18" w:rsidRDefault="00D50E18">
      <w:pPr>
        <w:jc w:val="center"/>
        <w:rPr>
          <w:sz w:val="28"/>
        </w:rPr>
      </w:pPr>
      <w:r>
        <w:rPr>
          <w:sz w:val="28"/>
        </w:rPr>
        <w:t>Тема: «Теневая экономика в современном мире».</w:t>
      </w:r>
    </w:p>
    <w:p w:rsidR="00D50E18" w:rsidRDefault="00D50E18"/>
    <w:p w:rsidR="00D50E18" w:rsidRDefault="00D50E18"/>
    <w:p w:rsidR="00D50E18" w:rsidRDefault="00D50E18">
      <w:pPr>
        <w:pStyle w:val="a3"/>
        <w:rPr>
          <w:sz w:val="24"/>
        </w:rPr>
      </w:pPr>
      <w:r>
        <w:rPr>
          <w:sz w:val="24"/>
        </w:rPr>
        <w:t xml:space="preserve">Под «теневой экономикой» в настоящее время понимают всю совокупность экономической деятельности, которую не учитывает официальная статистика, и не включают в валовый национальный продукт страны. 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В пространстве теневой экономики выделяют следующие основные зоны:</w:t>
      </w:r>
    </w:p>
    <w:p w:rsidR="00D50E18" w:rsidRDefault="00D50E18">
      <w:pPr>
        <w:pStyle w:val="a3"/>
        <w:numPr>
          <w:ilvl w:val="0"/>
          <w:numId w:val="1"/>
        </w:numPr>
        <w:rPr>
          <w:sz w:val="24"/>
        </w:rPr>
      </w:pPr>
      <w:r>
        <w:rPr>
          <w:sz w:val="24"/>
        </w:rPr>
        <w:t>неофициальная экономика – легальные виды экономической деятельности, в рамках которых имеет место не фиксируемое официальной статистикой производство товаров и услуг, сокрытие этой деятельности от налогов;</w:t>
      </w:r>
    </w:p>
    <w:p w:rsidR="00D50E18" w:rsidRDefault="00D50E18">
      <w:pPr>
        <w:pStyle w:val="a3"/>
        <w:numPr>
          <w:ilvl w:val="0"/>
          <w:numId w:val="1"/>
        </w:numPr>
        <w:rPr>
          <w:sz w:val="24"/>
        </w:rPr>
      </w:pPr>
      <w:r>
        <w:rPr>
          <w:sz w:val="24"/>
        </w:rPr>
        <w:t>фиктивная экономика – взяточничество, приписки, спекулятивные сделки и другие виды мошенничества, связанные с получением и передачей денег;</w:t>
      </w:r>
    </w:p>
    <w:p w:rsidR="00D50E18" w:rsidRDefault="00D50E18">
      <w:pPr>
        <w:pStyle w:val="a3"/>
        <w:numPr>
          <w:ilvl w:val="0"/>
          <w:numId w:val="1"/>
        </w:numPr>
        <w:rPr>
          <w:sz w:val="24"/>
        </w:rPr>
      </w:pPr>
      <w:r>
        <w:rPr>
          <w:sz w:val="24"/>
        </w:rPr>
        <w:t>подпольная экономика – все запрещенные законом виды экономической деятельности.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Во многих странах, и в особенности в тех, которые переживают сложные периоды трансформации. Теневая экономика не только составляет заметную часть экономической деятельности, но и продолжает расширяться. Однако даже там, где масштабы явления и общий социально-экономический фон и примерно одинаковы, теневые экономики существенно различаются, например, по следующим характеристикам:</w:t>
      </w:r>
    </w:p>
    <w:p w:rsidR="00D50E18" w:rsidRDefault="00D50E18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по структуре (доле криминальной деятельности в совокупном объеме производства, развитости фиктивной экономики, активности мелкого подпольного бизнеса, ускользающего из-под финансового контроля государства, но играющего, тем не менее, значительную роль в насыщении рынка);</w:t>
      </w:r>
    </w:p>
    <w:p w:rsidR="00D50E18" w:rsidRDefault="00D50E18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по воздействию на распределительные отношения (способствует или нет уменьшению или нивелированию дифференсации доходов);</w:t>
      </w:r>
    </w:p>
    <w:p w:rsidR="00D50E18" w:rsidRDefault="00D50E18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по основным проблемам, порождаемым его (недобор средств в бюджет, развитие криминогенных хозяйственных связей и так далее).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Можно сказать, что для всех стран, вступивших в период системных преобразований, масштабы распространения и структура теневой экономики должны рассматриваться в качестве важных успехов или неуспехов проводимых реформ.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 xml:space="preserve">Теневая экономика в России, коренным образом отличается не только от «западной», но и от «восточноевропейской». Некоторые объясняют нынешний размах теневого бизнеса в нашей стране исключительно генетическими предпосылками, сформированными еще при социализме. Другие – что специфика и масштабы теневой деятельности в современной России, прежде всего – продукты сегодняшнего дня, следствие избранной модели переустройства экономики и общества. 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Экспансия теневых экономических отношений является в первую очередь результатом разрушения прежней государственности, что привело к разрыву традиционных связей между отдельными предприятиями и целыми территориями. Не последнюю роль в криминализации хозяйственной жизни России играет и значительное ослабление борьбы с экономическими преступлениями, оправдываемые тезисом о необходимости использования капиталов «теневой экономики» как ресурсной базы экономических реформ.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 xml:space="preserve">Наряду с этим, достаточно очевидными причинами существует целый ряд глубинных факторов. В первую очередь влияние на активизацию теневой экономики формирующихся на современном этапе развития реформы в России механизма аллокации ресурсов и власти; об особенностях соединения работника со средствами производства;  о специфике формирующихся распределительных отношений. 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 xml:space="preserve">Реально возникшие в экономике страны на этапе трансформации трудности представителями крайних политических течений объясняются по-разному: одни ссылаются на сохранение значительных элементов прежней системы, другие кликушинствуют о бедах, которые несет России рынок. Вероятно, корни нынешних проблем следует искать, прежде всего, в специфике формируемых механизмов аллокации ресурсов и власти. В сегодняшней российской социально-экономической и политической реальности едва ли решающую роль играют механизмы локального корпоративного регулирования. 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Суть нового механизма аллокации ресурсов сводится к тому, что отдельные институты экономической системы, используя определенные преимущества своего положения (высокий уровень концентрации производства и (или) капитала, корпоративная власть и так далее), получают возможность сознательно (хотя и в локальных, ограниченных масштабах) воздействовать на параметры производства поставщиков и потребителей, рынка, социальной жизни и так далее.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 xml:space="preserve">Проявления этого механизма в переходной экономике хорошо известны. Господство псевдо-государственных и псевдо-частных корпораций приводит к нарастанию, диспропорций, в первую очередь, в хозяйственной структуре, динамике цен, финансах и так далее. 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В результате национальная экономика превращается в поле неэкономического соперничества корпоративно-бюрократических структур, в сферу столкновения их властных и регулирующих воздействий.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Среди наиболее серьезных последствий функционирования корпоративных механизмов аллокации ресурсов можно отметить произошедшую за последние годы дивергенцию страны на сильно и слабо корпоратизированные «сектора». В первом из них сконцентрированы:</w:t>
      </w:r>
    </w:p>
    <w:p w:rsidR="00D50E18" w:rsidRDefault="00D50E18">
      <w:pPr>
        <w:pStyle w:val="a3"/>
        <w:numPr>
          <w:ilvl w:val="0"/>
          <w:numId w:val="3"/>
        </w:numPr>
        <w:rPr>
          <w:sz w:val="24"/>
        </w:rPr>
      </w:pPr>
      <w:r>
        <w:rPr>
          <w:sz w:val="24"/>
        </w:rPr>
        <w:t>предприятия, являющиеся монополистами в технологическом, рыночном и институциональном отношениях;</w:t>
      </w:r>
    </w:p>
    <w:p w:rsidR="00D50E18" w:rsidRDefault="00D50E18">
      <w:pPr>
        <w:pStyle w:val="a3"/>
        <w:numPr>
          <w:ilvl w:val="0"/>
          <w:numId w:val="3"/>
        </w:numPr>
        <w:rPr>
          <w:sz w:val="24"/>
        </w:rPr>
      </w:pPr>
      <w:r>
        <w:rPr>
          <w:sz w:val="24"/>
        </w:rPr>
        <w:t>владеют решающими массами ликвидных ресурсов;</w:t>
      </w:r>
    </w:p>
    <w:p w:rsidR="00D50E18" w:rsidRDefault="00D50E18">
      <w:pPr>
        <w:pStyle w:val="a3"/>
        <w:numPr>
          <w:ilvl w:val="0"/>
          <w:numId w:val="3"/>
        </w:numPr>
        <w:rPr>
          <w:sz w:val="24"/>
        </w:rPr>
      </w:pPr>
      <w:r>
        <w:rPr>
          <w:sz w:val="24"/>
        </w:rPr>
        <w:t>корпоративно-бюрократическая власть.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К этому сектору относят ТЭК, финансово-торговый комплекс и часть промышленности (главным образом, ориентированной на экспорт).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Здесь извлекают сверх прибыли, превосходящие по своим масштабам известные до сих пор в мировой практике.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 xml:space="preserve">Второй (немонополизированный) «сектор», напротив испытывает дефицит ресурсов, управления, технологий. К нему относят сферу воспроизводства рабочей силы, производства потребительских товаров, большая часть сельского хозяйства. 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На практике наблюдается устойчивый перекос в ценах, финансировании, кредитовании и тому подобное в пользу первого «сектора», причем причиной такого перекоса является не только монополизм, обеспечивающий первому сектору значительные преимущества на рынке, но и дисбаланс в распределении корпоративной и государственной власти, создающий институциональное «превосходство первого «сектора» над вторым».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Именно «разность потенциалов», образовавшихся в результате дивергенции экономика двух «секторов», становится в нынешних условиях основным источником, подпитывающим теневые структуры и отношения. К непосредственным последствиям поляризации российского экономического пространства, играющим важную роль в создании питательной среды для развития теневой экономики, следует отнести:</w:t>
      </w:r>
    </w:p>
    <w:p w:rsidR="00D50E18" w:rsidRDefault="00D50E18">
      <w:pPr>
        <w:pStyle w:val="a3"/>
        <w:numPr>
          <w:ilvl w:val="0"/>
          <w:numId w:val="4"/>
        </w:numPr>
        <w:rPr>
          <w:sz w:val="24"/>
        </w:rPr>
      </w:pPr>
      <w:r>
        <w:rPr>
          <w:sz w:val="24"/>
        </w:rPr>
        <w:t>выделение зоны возникновения сверхприбылей;</w:t>
      </w:r>
    </w:p>
    <w:p w:rsidR="00D50E18" w:rsidRDefault="00D50E18">
      <w:pPr>
        <w:pStyle w:val="a3"/>
        <w:numPr>
          <w:ilvl w:val="0"/>
          <w:numId w:val="4"/>
        </w:numPr>
        <w:rPr>
          <w:sz w:val="24"/>
        </w:rPr>
      </w:pPr>
      <w:r>
        <w:rPr>
          <w:sz w:val="24"/>
        </w:rPr>
        <w:t>образование на этой основе базы формирования корпоративно-бюрократических структур, неэкономическое соперничество, между которыми подменяет собой, сегодня, механизм государственного управления;</w:t>
      </w:r>
    </w:p>
    <w:p w:rsidR="00D50E18" w:rsidRDefault="00D50E18">
      <w:pPr>
        <w:pStyle w:val="a3"/>
        <w:numPr>
          <w:ilvl w:val="0"/>
          <w:numId w:val="4"/>
        </w:numPr>
        <w:rPr>
          <w:sz w:val="24"/>
        </w:rPr>
      </w:pPr>
      <w:r>
        <w:rPr>
          <w:sz w:val="24"/>
        </w:rPr>
        <w:t>раскол общества на две неравные части – занятых в привилегированном, сильно корпоратизированном «секторе», и работающих в регрессирующем не монополизированном «секторе» экономики;</w:t>
      </w:r>
    </w:p>
    <w:p w:rsidR="00D50E18" w:rsidRDefault="00D50E18">
      <w:pPr>
        <w:pStyle w:val="a3"/>
        <w:numPr>
          <w:ilvl w:val="0"/>
          <w:numId w:val="4"/>
        </w:numPr>
        <w:rPr>
          <w:sz w:val="24"/>
        </w:rPr>
      </w:pPr>
      <w:r>
        <w:rPr>
          <w:sz w:val="24"/>
        </w:rPr>
        <w:t>появление реальных предпосылок для обострения в обществе борьбы за перераспределение крайне неравномерно распределяемых на всех уровнях доходов.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Социальную нестабильность провоцируют и развернувшиеся в последнее время процессы перераспределения собственности.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 xml:space="preserve">Начатая под флагом необходимости поиска «настоящего хозяина», приватизация в России привела к полному затуманиванию истинной картины существующих прав собственности. После всех лет «реформы» невозможно провести четкое разграничение между государственными и частными секторами экономики: произошла практически полная диффузия форм собственности, причем проникновение частной собственности оказалось значительно большим, чем это регистрируется официальной статистикой. 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Неопределенность границ частного сектора является следствием как минимум двух причин: во-первых, вплоть до недавнего времени «организованные» формы приватизации играли сравнительно незначительную роль. Они либо легализовали уже ранее осуществленное перераспределение собственности, либо путем массовой приватизации готовили базу для последующего вторичного перераспределения; во-вторых, широкое распространение получили так называемые «специфические способы» формирования частного сектора. Их диапазон весьма обширен – от прямого грабежа государственной собственности до легальных трансакций в форме перевода части созданной государственным предприятием добавленной стоимости в частный сектор. Создание финансовых холдингов, конгломератов, полугосударственных банков и финансовых структур, содействующих возникновению параллельных рынков денег, кредитов и капитала. Использование задолжностьи и кредитной зависимости между предприятиями в качестве «капитала», с целью их последующей легальной или теневой приватизации и т. д.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Следующая схема представляет основные направления, объекты, субъекты и методы приватизации, а также о новых собственниках, появившимся в ходе нее.</w:t>
      </w:r>
    </w:p>
    <w:p w:rsidR="00D50E18" w:rsidRDefault="00D50E18">
      <w:pPr>
        <w:pStyle w:val="a3"/>
        <w:rPr>
          <w:sz w:val="24"/>
        </w:rPr>
        <w:sectPr w:rsidR="00D50E18">
          <w:pgSz w:w="11906" w:h="16838"/>
          <w:pgMar w:top="1440" w:right="1800" w:bottom="1440" w:left="1800" w:header="720" w:footer="720" w:gutter="0"/>
          <w:cols w:space="720"/>
        </w:sectPr>
      </w:pPr>
    </w:p>
    <w:p w:rsidR="00D50E18" w:rsidRDefault="00D50E18">
      <w:pPr>
        <w:pStyle w:val="a3"/>
        <w:rPr>
          <w:sz w:val="24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0"/>
        <w:gridCol w:w="2840"/>
        <w:gridCol w:w="2840"/>
      </w:tblGrid>
      <w:tr w:rsidR="00D50E18">
        <w:trPr>
          <w:cantSplit/>
        </w:trPr>
        <w:tc>
          <w:tcPr>
            <w:tcW w:w="8520" w:type="dxa"/>
            <w:gridSpan w:val="3"/>
          </w:tcPr>
          <w:p w:rsidR="00D50E18" w:rsidRDefault="00D50E18">
            <w:pPr>
              <w:pStyle w:val="a3"/>
              <w:ind w:firstLine="0"/>
              <w:jc w:val="center"/>
              <w:rPr>
                <w:sz w:val="24"/>
              </w:rPr>
            </w:pPr>
          </w:p>
          <w:p w:rsidR="00D50E18" w:rsidRDefault="00D50E18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Основные объекты, методы и участники приватизации.</w:t>
            </w:r>
          </w:p>
          <w:p w:rsidR="00D50E18" w:rsidRDefault="00D50E18">
            <w:pPr>
              <w:pStyle w:val="a3"/>
              <w:ind w:firstLine="0"/>
              <w:jc w:val="center"/>
              <w:rPr>
                <w:sz w:val="24"/>
              </w:rPr>
            </w:pPr>
          </w:p>
        </w:tc>
      </w:tr>
      <w:tr w:rsidR="00D50E18">
        <w:tc>
          <w:tcPr>
            <w:tcW w:w="2840" w:type="dxa"/>
          </w:tcPr>
          <w:p w:rsidR="00D50E18" w:rsidRDefault="00D50E18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Объекты</w:t>
            </w:r>
          </w:p>
        </w:tc>
        <w:tc>
          <w:tcPr>
            <w:tcW w:w="2840" w:type="dxa"/>
          </w:tcPr>
          <w:p w:rsidR="00D50E18" w:rsidRDefault="00D50E18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Методы</w:t>
            </w:r>
          </w:p>
        </w:tc>
        <w:tc>
          <w:tcPr>
            <w:tcW w:w="2840" w:type="dxa"/>
          </w:tcPr>
          <w:p w:rsidR="00D50E18" w:rsidRDefault="00D50E18">
            <w:pPr>
              <w:pStyle w:val="a3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Новые собственники</w:t>
            </w:r>
          </w:p>
        </w:tc>
      </w:tr>
      <w:tr w:rsidR="00D50E18">
        <w:tc>
          <w:tcPr>
            <w:tcW w:w="2840" w:type="dxa"/>
          </w:tcPr>
          <w:p w:rsidR="00D50E18" w:rsidRDefault="00D50E1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Собственность политических и общественных структур</w:t>
            </w:r>
          </w:p>
        </w:tc>
        <w:tc>
          <w:tcPr>
            <w:tcW w:w="2840" w:type="dxa"/>
          </w:tcPr>
          <w:p w:rsidR="00D50E18" w:rsidRDefault="00D50E1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Создание коммерческих структур, экспорт капитала</w:t>
            </w:r>
          </w:p>
        </w:tc>
        <w:tc>
          <w:tcPr>
            <w:tcW w:w="2840" w:type="dxa"/>
          </w:tcPr>
          <w:p w:rsidR="00D50E18" w:rsidRDefault="00D50E1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Номенклатура общественных и политических организаций и близкое к ним окружение.</w:t>
            </w:r>
          </w:p>
        </w:tc>
      </w:tr>
      <w:tr w:rsidR="00D50E18">
        <w:tc>
          <w:tcPr>
            <w:tcW w:w="2840" w:type="dxa"/>
          </w:tcPr>
          <w:p w:rsidR="00D50E18" w:rsidRDefault="00D50E1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Государственные бюджетные социальные фонды</w:t>
            </w:r>
          </w:p>
        </w:tc>
        <w:tc>
          <w:tcPr>
            <w:tcW w:w="2840" w:type="dxa"/>
          </w:tcPr>
          <w:p w:rsidR="00D50E18" w:rsidRDefault="00D50E1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Широкая система социальных кредитов и льгот по налогообложению. Создание коммерческих структур на базе фондов.</w:t>
            </w:r>
          </w:p>
        </w:tc>
        <w:tc>
          <w:tcPr>
            <w:tcW w:w="2840" w:type="dxa"/>
          </w:tcPr>
          <w:p w:rsidR="00D50E18" w:rsidRDefault="00D50E1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Коррумпированный аппарат, «благородные получатели»</w:t>
            </w:r>
          </w:p>
        </w:tc>
      </w:tr>
      <w:tr w:rsidR="00D50E18">
        <w:tc>
          <w:tcPr>
            <w:tcW w:w="2840" w:type="dxa"/>
          </w:tcPr>
          <w:p w:rsidR="00D50E18" w:rsidRDefault="00D50E1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Фонды государственных предприятий.</w:t>
            </w:r>
          </w:p>
        </w:tc>
        <w:tc>
          <w:tcPr>
            <w:tcW w:w="2840" w:type="dxa"/>
          </w:tcPr>
          <w:p w:rsidR="00D50E18" w:rsidRDefault="00D50E1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Различные формы «приватизации» (мелкие кооперативы, лизинг, аренда и т. д.) многообразные формы массовой и платной приватизации.</w:t>
            </w:r>
          </w:p>
        </w:tc>
        <w:tc>
          <w:tcPr>
            <w:tcW w:w="2840" w:type="dxa"/>
          </w:tcPr>
          <w:p w:rsidR="00D50E18" w:rsidRDefault="00D50E1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Трудовые коллективы, директорат, бывшие теневики.</w:t>
            </w:r>
          </w:p>
        </w:tc>
      </w:tr>
      <w:tr w:rsidR="00D50E18">
        <w:tc>
          <w:tcPr>
            <w:tcW w:w="2840" w:type="dxa"/>
          </w:tcPr>
          <w:p w:rsidR="00D50E18" w:rsidRDefault="00D50E1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Сбережения населения.</w:t>
            </w:r>
          </w:p>
        </w:tc>
        <w:tc>
          <w:tcPr>
            <w:tcW w:w="2840" w:type="dxa"/>
          </w:tcPr>
          <w:p w:rsidR="00D50E18" w:rsidRDefault="00D50E1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Через систему ваучерных и инвестиционных фондов, банковскую систему и новые организации социального обеспечения.</w:t>
            </w:r>
          </w:p>
        </w:tc>
        <w:tc>
          <w:tcPr>
            <w:tcW w:w="2840" w:type="dxa"/>
          </w:tcPr>
          <w:p w:rsidR="00D50E18" w:rsidRDefault="00D50E18">
            <w:pPr>
              <w:pStyle w:val="a3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Сотрудники фондов и организаций.</w:t>
            </w:r>
          </w:p>
        </w:tc>
      </w:tr>
    </w:tbl>
    <w:p w:rsidR="00D50E18" w:rsidRDefault="00D50E18">
      <w:pPr>
        <w:pStyle w:val="a3"/>
        <w:rPr>
          <w:sz w:val="24"/>
        </w:rPr>
      </w:pPr>
    </w:p>
    <w:p w:rsidR="00D50E18" w:rsidRDefault="00D50E18">
      <w:pPr>
        <w:pStyle w:val="a3"/>
        <w:rPr>
          <w:sz w:val="24"/>
        </w:rPr>
      </w:pPr>
      <w:r>
        <w:rPr>
          <w:sz w:val="24"/>
        </w:rPr>
        <w:t>Основная причина того, что «деньги партии» до сих пор «не найдены», кроется, по-видимому, в том, что на финансах партии созданы наиболее дееспособные коммерческие структуры, в том числе наиболее респектабельные банки и совместные предприятия. Представители новой экономической элиты и политического руководства, по всей видимости, смогли договориться между собой, что, похоже, оказалось не слишком сложным делом, если учесть, что значительная часть, как тех, так и других некогда принадлежала к одному клану – партийной номенклатуре.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Наиболее простой и распространенный метод приватизации на втором направлении – так называемая «дойка коровы». Здесь используют следующую схему.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 xml:space="preserve">Центральный Банк России предоставляет, например, предприятию специальный кредит для выплаты задолжностьи по заработной плате или для других хозяйственных нужд, под низкие (для России) проценты – 25% годовых. Деньги на рыночных условиях тут же помещают в коммерческий банк, который находится с предприятием в «особых» отношениях. Разницу, возникающую на этой операции, делят между руководителями предприятия и участвующими в доле банковскими работниками. 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Характерным явление российской экономической политики стало предоставление незаконных льгот приближенным к власти коммерческим структурам.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 xml:space="preserve">Приватизация государственных предприятий, как таковая, фактически началась в России не в июле 1992 года, как указывают в официальных материалах, а с момента создания в 1987 году, так называемых малых кооперативов, большинство из которых организовывались при государственных промышленных предприятиях. Создание малых кооперативов оказалось очень удобной формой перекачки государственных средств в частные руки. 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К началу июля 1994 года в России было приватизировано около 70% всех предприятий промышленности и сферы услуг. Многими реформаторами столь высокие темпы преобразования расцениваются как колоссальный успех реформ. Однако наряду с количественными показателями необходимо учитывать и качественные изменения.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С самого начала вплоть до своего завершения, массовая приватизация в России представляла собой колоссальную спекулятивную операцию, приведшую к криминализации экономики, невиданному социальному расслоению и образованию враждующих социальных групп. Криминализации является с одной стороны, отражением социально-экономической и политической ситуации в стране, с другой стороны – тесно связана с моделью приватизации, принятой в России.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Некоторые особенности российской действительности имеют рациональное объяснение, если признать существование параллельных источников доходов населения.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 xml:space="preserve">Известно, что, начиная с 1991 года, цены в стране растут значительно быстрее, чем официальная заработная плата: минимальная и даже средняя по стране заработная плата сегодня не обеспечивает необходимого прожиточного минимума. Однако до сих пор социальная ситуация в стране не взорвалась; банковские накопления населения растут; число вновь образованных на предпринимательской основе хозяйственных организаций увеличивается – несмотря на то, что каждая третья из вновь созданных мелких и средних фирм оказалась убыточной. Есть все основания предполагать, что и проблема выживания, и проблема первоначального накопления капитала решается сегодня в России на путях активного включения населения в различные процессы разворачивающиеся в рамках теневой экономики. Мотивы, механизмы и результаты такого участия у различных групп населения различны. 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Современное российское общество можно разделить на три основные страты, каждая из которых, в свою очередь подразделена на группы:</w:t>
      </w:r>
    </w:p>
    <w:p w:rsidR="00D50E18" w:rsidRDefault="00D50E18">
      <w:pPr>
        <w:pStyle w:val="a3"/>
        <w:numPr>
          <w:ilvl w:val="0"/>
          <w:numId w:val="5"/>
        </w:numPr>
        <w:rPr>
          <w:sz w:val="24"/>
        </w:rPr>
      </w:pPr>
      <w:r>
        <w:rPr>
          <w:sz w:val="24"/>
        </w:rPr>
        <w:t xml:space="preserve">Новые собственники, высшие управляющие, работники высшего и среднего звена, отчасти наемные работники низшего звена корпоратизированного сектора, где образуются огромные сверхприбыли. Для этой категории лиц характерно стремление получить и максимально вывести из-под налогообложения свои прибыли и другие доходы, что возможно только на пути прямых нарушений законодательства и установления особых «доверительных» отношений с двумя социальными группами с другой стороны: бюрократией, определяющей условия коммерческой деятельности, и заставляющими платить «дань» криминальными  элементами. </w:t>
      </w:r>
    </w:p>
    <w:p w:rsidR="00D50E18" w:rsidRDefault="00D50E18">
      <w:pPr>
        <w:pStyle w:val="a3"/>
        <w:numPr>
          <w:ilvl w:val="0"/>
          <w:numId w:val="5"/>
        </w:numPr>
        <w:rPr>
          <w:sz w:val="24"/>
        </w:rPr>
      </w:pPr>
      <w:r>
        <w:rPr>
          <w:sz w:val="24"/>
        </w:rPr>
        <w:t>Группы, имеющие реальные возможности участвовать в перераспределении сверхприбылей; среди них, в первую очередь бюрократия и криминальные элементы, а так же немногочисленные группы, обслуживающие нужды сверхмонополистов.</w:t>
      </w:r>
    </w:p>
    <w:p w:rsidR="00D50E18" w:rsidRDefault="00D50E18">
      <w:pPr>
        <w:pStyle w:val="a3"/>
        <w:numPr>
          <w:ilvl w:val="0"/>
          <w:numId w:val="5"/>
        </w:numPr>
        <w:rPr>
          <w:sz w:val="24"/>
        </w:rPr>
      </w:pPr>
      <w:r>
        <w:rPr>
          <w:sz w:val="24"/>
        </w:rPr>
        <w:t>Подавляющая часть населения, выведенная за рамки корпоративного сектора и не допущенная к его доходам.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 xml:space="preserve">Средняя заработная плата квалифицированного российского рабочего в 25 раз меньше, чем у американского, хотя стоимость потребительской корзины уже составляет свыше 40% от американского уровня. 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Чтобы выжить, население вынуждено адаптироваться к новым условиям, участвуя в различных формах «теневой экономики». По данным социологических опросов, дополнительный доход работников промышленных предприятий от разных видов побочной деятельности достигает 80% совокупного семейного дохода.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Таким образом, у подавляющей части населения существует объективная необходимость активизации своего участия в теневой экономике, что укрепляет основу взяточничества «теневой деятельности» и криминальной активности.</w:t>
      </w:r>
    </w:p>
    <w:p w:rsidR="00D50E18" w:rsidRDefault="00D50E18">
      <w:pPr>
        <w:pStyle w:val="a3"/>
        <w:rPr>
          <w:sz w:val="24"/>
        </w:rPr>
      </w:pPr>
      <w:r>
        <w:rPr>
          <w:sz w:val="24"/>
        </w:rPr>
        <w:t>Сегодня уже очевидно, что значительное расширение сферы теневой, прежде всего фиктивной и криминальной, экономики ведет нас не к цивилизованному рынку и демократии, а к установлению корпоративно-бюрократического кланового правления, которое, как свидетельствует история, может быть длительным и даже способным обеспечить определенную социальную стабильность. Проблемой России является явно криминальная, замешанная на теневой деятельности окраска складывающихся кланов. В этой связи небезосновательным  представляются высказываемые опасения, что на исход будущих выборов в стране сильное влияние будут оказывать криминальные элементы.</w:t>
      </w:r>
      <w:bookmarkStart w:id="0" w:name="_GoBack"/>
      <w:bookmarkEnd w:id="0"/>
    </w:p>
    <w:sectPr w:rsidR="00D50E18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8519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0451BF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05A29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61BC38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7FC630C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3C49"/>
    <w:rsid w:val="00D50E18"/>
    <w:rsid w:val="00E10F63"/>
    <w:rsid w:val="00F13C49"/>
    <w:rsid w:val="00F1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91505-9387-4A43-A15B-A58B11839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67"/>
      <w:jc w:val="both"/>
    </w:pPr>
  </w:style>
  <w:style w:type="paragraph" w:styleId="a4">
    <w:name w:val="Title"/>
    <w:basedOn w:val="a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2275</Words>
  <Characters>12970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регулирование экономики</vt:lpstr>
    </vt:vector>
  </TitlesOfParts>
  <Company>PRIVATE</Company>
  <LinksUpToDate>false</LinksUpToDate>
  <CharactersWithSpaces>15215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регулирование экономики</dc:title>
  <dc:subject/>
  <dc:creator>Konstantin K. Koost</dc:creator>
  <cp:keywords/>
  <cp:lastModifiedBy>Irina</cp:lastModifiedBy>
  <cp:revision>2</cp:revision>
  <cp:lastPrinted>1998-12-18T09:52:00Z</cp:lastPrinted>
  <dcterms:created xsi:type="dcterms:W3CDTF">2014-08-06T16:04:00Z</dcterms:created>
  <dcterms:modified xsi:type="dcterms:W3CDTF">2014-08-06T16:04:00Z</dcterms:modified>
</cp:coreProperties>
</file>