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510125" w:rsidRDefault="00510125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510125" w:rsidRPr="00510125" w:rsidRDefault="00510125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871166" w:rsidRPr="00510125" w:rsidRDefault="00871166" w:rsidP="00510125">
      <w:pPr>
        <w:pStyle w:val="Style2"/>
        <w:keepNext/>
        <w:spacing w:line="360" w:lineRule="auto"/>
        <w:ind w:firstLine="720"/>
        <w:jc w:val="both"/>
        <w:rPr>
          <w:rStyle w:val="FontStyle13"/>
          <w:b w:val="0"/>
          <w:color w:val="000000"/>
          <w:sz w:val="28"/>
        </w:rPr>
      </w:pPr>
    </w:p>
    <w:p w:rsidR="00F462C4" w:rsidRPr="00510125" w:rsidRDefault="00F462C4" w:rsidP="00510125">
      <w:pPr>
        <w:pStyle w:val="Style2"/>
        <w:keepNext/>
        <w:spacing w:line="360" w:lineRule="auto"/>
        <w:ind w:firstLine="720"/>
        <w:jc w:val="center"/>
        <w:rPr>
          <w:rStyle w:val="FontStyle13"/>
          <w:color w:val="000000"/>
          <w:sz w:val="28"/>
        </w:rPr>
      </w:pPr>
      <w:r w:rsidRPr="00510125">
        <w:rPr>
          <w:rStyle w:val="FontStyle13"/>
          <w:color w:val="000000"/>
          <w:sz w:val="28"/>
        </w:rPr>
        <w:t>Модели эпитермальной минерализ</w:t>
      </w:r>
      <w:r w:rsidR="00871166" w:rsidRPr="00510125">
        <w:rPr>
          <w:rStyle w:val="FontStyle13"/>
          <w:color w:val="000000"/>
          <w:sz w:val="28"/>
        </w:rPr>
        <w:t>ации: критические сопоставления</w:t>
      </w:r>
    </w:p>
    <w:p w:rsidR="00F462C4" w:rsidRPr="00510125" w:rsidRDefault="00871166" w:rsidP="00510125">
      <w:pPr>
        <w:pStyle w:val="Style3"/>
        <w:keepNext/>
        <w:tabs>
          <w:tab w:val="left" w:pos="2491"/>
        </w:tabs>
        <w:spacing w:line="360" w:lineRule="auto"/>
        <w:ind w:firstLine="720"/>
        <w:jc w:val="center"/>
        <w:rPr>
          <w:rStyle w:val="FontStyle19"/>
          <w:color w:val="000000"/>
          <w:sz w:val="28"/>
        </w:rPr>
      </w:pPr>
      <w:r w:rsidRPr="00510125">
        <w:rPr>
          <w:rStyle w:val="FontStyle19"/>
          <w:b w:val="0"/>
          <w:color w:val="000000"/>
          <w:sz w:val="28"/>
        </w:rPr>
        <w:br w:type="page"/>
      </w:r>
      <w:r w:rsidR="00F462C4" w:rsidRPr="00510125">
        <w:rPr>
          <w:rStyle w:val="FontStyle19"/>
          <w:color w:val="000000"/>
          <w:sz w:val="28"/>
        </w:rPr>
        <w:lastRenderedPageBreak/>
        <w:t>В</w:t>
      </w:r>
      <w:r w:rsidRPr="00510125">
        <w:rPr>
          <w:rStyle w:val="FontStyle19"/>
          <w:color w:val="000000"/>
          <w:sz w:val="28"/>
        </w:rPr>
        <w:t>ведение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color w:val="000000"/>
          <w:sz w:val="28"/>
          <w:szCs w:val="20"/>
        </w:rPr>
      </w:pP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При разведке золотых месторождений эпитермального типа верхние 500 метров системы обычно представляют самую важную и наиболее интересную зону. Она является зоной максимальных изменений температуры и давлений, что приводит к наиболее быстрым флуктуациям условий. Эти флуктуации давлений приводят к гидравлическому дроблению, кипению и резким изменениям гидрогеологических условий системы. Эти физические процессы непосредственно связаны с химическими процессами, которые приводят к рудообразованию. Прежде чем обсуждать предложенные модели эпитермальных систем, их применяемость и недостатки, мы представим некоторые геохимические взаимоотношения. Будут рассмотрены геофизические характеристики и другие методы и концепции, применимые к разведке эпитермальных месторождений.</w:t>
      </w:r>
    </w:p>
    <w:p w:rsidR="00F462C4" w:rsidRPr="00510125" w:rsidRDefault="00DA2A07" w:rsidP="00510125">
      <w:pPr>
        <w:pStyle w:val="Style4"/>
        <w:keepNext/>
        <w:spacing w:line="360" w:lineRule="auto"/>
        <w:ind w:firstLine="720"/>
        <w:jc w:val="center"/>
        <w:rPr>
          <w:rStyle w:val="FontStyle19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br w:type="page"/>
      </w:r>
      <w:r w:rsidRPr="00510125">
        <w:rPr>
          <w:rStyle w:val="FontStyle19"/>
          <w:color w:val="000000"/>
          <w:sz w:val="28"/>
        </w:rPr>
        <w:t>Геохимические взаимоотношения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color w:val="000000"/>
          <w:sz w:val="28"/>
          <w:szCs w:val="20"/>
        </w:rPr>
      </w:pP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Имеются различные группы элементов, которые обычно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связанны с эпитермальным золотым рудопроявлением. Классическое взаимоотношение представлено </w:t>
      </w:r>
      <w:r w:rsidRPr="00510125">
        <w:rPr>
          <w:rStyle w:val="FontStyle21"/>
          <w:color w:val="000000"/>
          <w:sz w:val="28"/>
          <w:lang w:val="en-US"/>
        </w:rPr>
        <w:t>Au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Ag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As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Sb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Hg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Tl</w:t>
      </w:r>
      <w:r w:rsidRPr="00510125">
        <w:rPr>
          <w:rStyle w:val="FontStyle21"/>
          <w:color w:val="000000"/>
          <w:sz w:val="28"/>
        </w:rPr>
        <w:t xml:space="preserve"> и </w:t>
      </w:r>
      <w:r w:rsidRPr="00510125">
        <w:rPr>
          <w:rStyle w:val="FontStyle21"/>
          <w:color w:val="000000"/>
          <w:sz w:val="28"/>
          <w:lang w:val="en-US"/>
        </w:rPr>
        <w:t>S</w:t>
      </w:r>
      <w:r w:rsidRPr="00510125">
        <w:rPr>
          <w:rStyle w:val="FontStyle21"/>
          <w:color w:val="000000"/>
          <w:sz w:val="28"/>
        </w:rPr>
        <w:t>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 xml:space="preserve">В месторождениях, расположенных в карбонатах, </w:t>
      </w:r>
      <w:r w:rsidRPr="00510125">
        <w:rPr>
          <w:rStyle w:val="FontStyle21"/>
          <w:color w:val="000000"/>
          <w:sz w:val="28"/>
          <w:lang w:val="en-US"/>
        </w:rPr>
        <w:t>As</w:t>
      </w:r>
      <w:r w:rsidRPr="00510125">
        <w:rPr>
          <w:rStyle w:val="FontStyle21"/>
          <w:color w:val="000000"/>
          <w:sz w:val="28"/>
        </w:rPr>
        <w:t xml:space="preserve"> и </w:t>
      </w:r>
      <w:r w:rsidRPr="00510125">
        <w:rPr>
          <w:rStyle w:val="FontStyle21"/>
          <w:color w:val="000000"/>
          <w:sz w:val="28"/>
          <w:lang w:val="en-US"/>
        </w:rPr>
        <w:t>S</w:t>
      </w:r>
      <w:r w:rsidRPr="00510125">
        <w:rPr>
          <w:rStyle w:val="FontStyle21"/>
          <w:color w:val="000000"/>
          <w:sz w:val="28"/>
        </w:rPr>
        <w:t xml:space="preserve"> являются главными элементами, связанными с Аи и </w:t>
      </w:r>
      <w:r w:rsidRPr="00510125">
        <w:rPr>
          <w:rStyle w:val="FontStyle21"/>
          <w:color w:val="000000"/>
          <w:sz w:val="28"/>
          <w:lang w:val="en-US"/>
        </w:rPr>
        <w:t>Ag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наряду с меньшими количествами </w:t>
      </w:r>
      <w:r w:rsidRPr="00510125">
        <w:rPr>
          <w:rStyle w:val="FontStyle21"/>
          <w:color w:val="000000"/>
          <w:sz w:val="28"/>
          <w:lang w:val="en-US"/>
        </w:rPr>
        <w:t>Sn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Mo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Hg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Ta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Sb</w:t>
      </w:r>
      <w:r w:rsidRPr="00510125">
        <w:rPr>
          <w:rStyle w:val="FontStyle21"/>
          <w:color w:val="000000"/>
          <w:sz w:val="28"/>
        </w:rPr>
        <w:t xml:space="preserve"> и </w:t>
      </w:r>
      <w:r w:rsidRPr="00510125">
        <w:rPr>
          <w:rStyle w:val="FontStyle21"/>
          <w:color w:val="000000"/>
          <w:sz w:val="28"/>
          <w:lang w:val="en-US"/>
        </w:rPr>
        <w:t>Tl</w:t>
      </w:r>
      <w:r w:rsidRPr="00510125">
        <w:rPr>
          <w:rStyle w:val="FontStyle21"/>
          <w:color w:val="000000"/>
          <w:sz w:val="28"/>
        </w:rPr>
        <w:t>; также локально концентрированы фтор и барий.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 xml:space="preserve">В месторождениях, размещённых в вулканических породах, наряду с благородными металлами, на участках, где располагаются главные потоки гидротерм, имеются </w:t>
      </w:r>
      <w:r w:rsidRPr="00510125">
        <w:rPr>
          <w:rStyle w:val="FontStyle21"/>
          <w:color w:val="000000"/>
          <w:sz w:val="28"/>
          <w:lang w:val="en-US"/>
        </w:rPr>
        <w:t>As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Sb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Hg</w:t>
      </w:r>
      <w:r w:rsidRPr="00510125">
        <w:rPr>
          <w:rStyle w:val="FontStyle21"/>
          <w:color w:val="000000"/>
          <w:sz w:val="28"/>
        </w:rPr>
        <w:t xml:space="preserve"> и таллий. Они также связаны с зонами аргиллизации. Неблагородные металлы обычно имеют низкие содержания в ассоциациях с </w:t>
      </w:r>
      <w:r w:rsidRPr="00510125">
        <w:rPr>
          <w:rStyle w:val="FontStyle21"/>
          <w:color w:val="000000"/>
          <w:sz w:val="28"/>
          <w:lang w:val="en-US"/>
        </w:rPr>
        <w:t>Au</w:t>
      </w:r>
      <w:r w:rsidRPr="00510125">
        <w:rPr>
          <w:rStyle w:val="FontStyle21"/>
          <w:color w:val="000000"/>
          <w:sz w:val="28"/>
        </w:rPr>
        <w:t>-</w:t>
      </w:r>
      <w:r w:rsidRPr="00510125">
        <w:rPr>
          <w:rStyle w:val="FontStyle21"/>
          <w:color w:val="000000"/>
          <w:sz w:val="28"/>
          <w:lang w:val="en-US"/>
        </w:rPr>
        <w:t>Ag</w:t>
      </w:r>
      <w:r w:rsidRPr="00510125">
        <w:rPr>
          <w:rStyle w:val="FontStyle21"/>
          <w:color w:val="000000"/>
          <w:sz w:val="28"/>
        </w:rPr>
        <w:t xml:space="preserve"> минерализацией, хотя они имеют значительные концентрации на более глубоких уровнях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или ассоциации с месторождениями, богатыми серебром, где также встречается марганец. Кадмий и селен могут находиться в ассоциации с неблагородными металлами; фтор, висмут, теллур и олово варьируют в широких пределах разных месторождениях, а бор и барий иногда отмечаются в виде повышенных содержаний.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 xml:space="preserve">Результаты анализов проб, взятых из толщ, обнажённых на поверхности Земли и из осадков из скважин, пробуренных на активных эпитермальных системах на благородные и сопутствующие металлы, приводятся в таблице 1. Более детальные анализы поверхностных и субповерхностных проб для системы Вайотапу приводятся </w:t>
      </w:r>
      <w:r w:rsidRPr="00510125">
        <w:rPr>
          <w:rStyle w:val="FontStyle21"/>
          <w:color w:val="000000"/>
          <w:sz w:val="28"/>
          <w:lang w:val="en-US"/>
        </w:rPr>
        <w:t>Hedenquist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Henley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В таблице 1 результаты представлены для проб, обогащённых металлами, пробы со средними содержаниями имеют концентрации последних на порядок ниже.</w:t>
      </w:r>
    </w:p>
    <w:p w:rsidR="00F462C4" w:rsidRPr="00510125" w:rsidRDefault="00510125" w:rsidP="00510125">
      <w:pPr>
        <w:pStyle w:val="Style6"/>
        <w:keepNext/>
        <w:spacing w:line="360" w:lineRule="auto"/>
        <w:ind w:firstLine="720"/>
        <w:rPr>
          <w:rStyle w:val="FontStyle21"/>
          <w:color w:val="000000"/>
          <w:sz w:val="28"/>
        </w:rPr>
      </w:pPr>
      <w:r>
        <w:rPr>
          <w:rStyle w:val="FontStyle21"/>
          <w:color w:val="000000"/>
          <w:sz w:val="28"/>
        </w:rPr>
        <w:br w:type="page"/>
      </w:r>
      <w:r w:rsidR="00F462C4" w:rsidRPr="00510125">
        <w:rPr>
          <w:rStyle w:val="FontStyle21"/>
          <w:color w:val="000000"/>
          <w:sz w:val="28"/>
        </w:rPr>
        <w:t>Таблица 1</w:t>
      </w:r>
    </w:p>
    <w:p w:rsidR="00F462C4" w:rsidRPr="00510125" w:rsidRDefault="00F462C4" w:rsidP="00510125">
      <w:pPr>
        <w:pStyle w:val="Style7"/>
        <w:keepNext/>
        <w:spacing w:line="360" w:lineRule="auto"/>
        <w:ind w:firstLine="720"/>
        <w:jc w:val="both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Концентрации металлов в осадках из геотермальных скважин и источников</w:t>
      </w:r>
      <w:r w:rsidR="00C31BCC" w:rsidRPr="00510125">
        <w:rPr>
          <w:rStyle w:val="FontStyle21"/>
          <w:color w:val="000000"/>
          <w:sz w:val="28"/>
        </w:rPr>
        <w:t xml:space="preserve"> 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7"/>
        <w:gridCol w:w="542"/>
        <w:gridCol w:w="547"/>
        <w:gridCol w:w="408"/>
        <w:gridCol w:w="494"/>
        <w:gridCol w:w="485"/>
        <w:gridCol w:w="494"/>
        <w:gridCol w:w="624"/>
        <w:gridCol w:w="605"/>
        <w:gridCol w:w="581"/>
        <w:gridCol w:w="581"/>
        <w:gridCol w:w="662"/>
        <w:gridCol w:w="1718"/>
      </w:tblGrid>
      <w:tr w:rsidR="00F462C4" w:rsidRPr="00510125" w:rsidTr="00510125">
        <w:tc>
          <w:tcPr>
            <w:tcW w:w="17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As</w:t>
            </w:r>
          </w:p>
        </w:tc>
        <w:tc>
          <w:tcPr>
            <w:tcW w:w="5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Sb</w:t>
            </w:r>
          </w:p>
        </w:tc>
        <w:tc>
          <w:tcPr>
            <w:tcW w:w="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Au</w:t>
            </w: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Ag</w:t>
            </w: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Hg</w:t>
            </w: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T1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Cu</w:t>
            </w:r>
          </w:p>
        </w:tc>
        <w:tc>
          <w:tcPr>
            <w:tcW w:w="6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Pb</w:t>
            </w: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Zn</w:t>
            </w: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Mn</w:t>
            </w:r>
          </w:p>
        </w:tc>
        <w:tc>
          <w:tcPr>
            <w:tcW w:w="6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Fe</w:t>
            </w:r>
          </w:p>
        </w:tc>
        <w:tc>
          <w:tcPr>
            <w:tcW w:w="17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Бродлэндс Н.Зеландия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Охаки Крид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10%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85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Скв.2, в глушителе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600?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 1/2%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Ga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700.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Be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400,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Sn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40.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V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25;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Скв.2. на глушителе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8%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Скв.7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250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250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Ga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150,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Be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100.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Sn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5,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V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10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Эль Татио, Чили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Источник 227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12%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1.5%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3000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Матсао, Тайвань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Скв. Е-205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Н.о.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Главн.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Ni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500.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Co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150,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Mo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200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Красное море,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Ge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100,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V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100,</w:t>
            </w: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 xml:space="preserve"> Sn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100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4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 xml:space="preserve">Атлантик </w:t>
            </w:r>
            <w:r w:rsidRPr="00510125">
              <w:rPr>
                <w:rStyle w:val="FontStyle14"/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126Р-3М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80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380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1.25%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880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12.5%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Cd 63, Ni 40. Co 65, Mo 125;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Ge 0.6,V 80, Ga10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Средний анализ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1.3%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0.1%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3.4%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29%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Ротокава, Н. Зеландия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0.4%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30%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JO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0.5%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Скв.2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Солтон Си,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Калифорния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W-768</w:t>
            </w:r>
            <w:r w:rsidRPr="00510125">
              <w:rPr>
                <w:rStyle w:val="FontStyle17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0.1%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0.25%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2.8%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Главн.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70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Н.о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3400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6%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Ga 120. Be 370. Bi 90. Co b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Источник Стимбоат,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Невада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Окремнённая грязь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4%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Мета стибнит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600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2000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Узон, восточно. Терм.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11.6%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6700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0.72%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Mo 30, Ge 40, Ba 7000,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поле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Камчатка</w:t>
            </w:r>
            <w:r w:rsidR="00871166" w:rsidRPr="00510125">
              <w:rPr>
                <w:rStyle w:val="FontStyle17"/>
                <w:color w:val="000000"/>
                <w:sz w:val="20"/>
                <w:szCs w:val="20"/>
              </w:rPr>
              <w:t>,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Sr IOO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Камчатка, Центр.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.10.15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4700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5.3%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Mo 200, Ge 100. Ba 2000,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5"/>
              <w:keepNext/>
              <w:spacing w:line="360" w:lineRule="auto"/>
              <w:jc w:val="both"/>
              <w:rPr>
                <w:rStyle w:val="FontStyle15"/>
                <w:b w:val="0"/>
                <w:color w:val="000000"/>
                <w:sz w:val="20"/>
                <w:szCs w:val="20"/>
              </w:rPr>
            </w:pPr>
            <w:r w:rsidRPr="00510125">
              <w:rPr>
                <w:rStyle w:val="FontStyle15"/>
                <w:b w:val="0"/>
                <w:color w:val="000000"/>
                <w:sz w:val="20"/>
                <w:szCs w:val="20"/>
              </w:rPr>
              <w:t>Вайотапу Н.Зеландия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Sr 300</w:t>
            </w:r>
          </w:p>
        </w:tc>
      </w:tr>
      <w:tr w:rsidR="00F462C4" w:rsidRPr="00510125" w:rsidTr="00510125"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Оз. Шампанское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9"/>
              <w:keepNext/>
              <w:spacing w:line="360" w:lineRule="auto"/>
              <w:jc w:val="both"/>
              <w:rPr>
                <w:rStyle w:val="FontStyle16"/>
                <w:i w:val="0"/>
                <w:color w:val="000000"/>
                <w:sz w:val="20"/>
                <w:szCs w:val="20"/>
              </w:rPr>
            </w:pPr>
            <w:r w:rsidRPr="00510125">
              <w:rPr>
                <w:rStyle w:val="FontStyle16"/>
                <w:i w:val="0"/>
                <w:color w:val="000000"/>
                <w:sz w:val="20"/>
                <w:szCs w:val="20"/>
              </w:rPr>
              <w:t>2%</w:t>
            </w:r>
          </w:p>
        </w:tc>
        <w:tc>
          <w:tcPr>
            <w:tcW w:w="5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2%</w:t>
            </w:r>
          </w:p>
        </w:tc>
        <w:tc>
          <w:tcPr>
            <w:tcW w:w="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175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320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8"/>
              <w:keepNext/>
              <w:spacing w:line="360" w:lineRule="auto"/>
              <w:jc w:val="both"/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</w:pPr>
            <w:r w:rsidRPr="00510125">
              <w:rPr>
                <w:rStyle w:val="FontStyle17"/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62C4" w:rsidRPr="00510125" w:rsidRDefault="00F462C4" w:rsidP="00510125">
            <w:pPr>
              <w:pStyle w:val="Style1"/>
              <w:keepNext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10125" w:rsidRDefault="00510125" w:rsidP="00510125">
      <w:pPr>
        <w:pStyle w:val="Style11"/>
        <w:keepNext/>
        <w:spacing w:line="360" w:lineRule="auto"/>
        <w:ind w:firstLine="720"/>
        <w:jc w:val="both"/>
        <w:rPr>
          <w:rStyle w:val="FontStyle21"/>
          <w:color w:val="000000"/>
          <w:sz w:val="28"/>
        </w:rPr>
      </w:pPr>
    </w:p>
    <w:p w:rsidR="00F462C4" w:rsidRPr="00510125" w:rsidRDefault="00F462C4" w:rsidP="00510125">
      <w:pPr>
        <w:pStyle w:val="Style11"/>
        <w:keepNext/>
        <w:spacing w:line="360" w:lineRule="auto"/>
        <w:ind w:firstLine="720"/>
        <w:jc w:val="both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в таблице приводятся результаты для аналогичных пород из месторождения Раун Монтейн в Неваде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а сопровождающие рисунки показывают схематическую пространственную связь некоторых трековых элементов с глубиной типом гидротермальных изменений</w:t>
      </w:r>
      <w:r w:rsidR="00C31BCC" w:rsidRPr="00510125">
        <w:rPr>
          <w:rStyle w:val="FontStyle21"/>
          <w:color w:val="000000"/>
          <w:sz w:val="28"/>
        </w:rPr>
        <w:t>.</w:t>
      </w:r>
    </w:p>
    <w:p w:rsidR="00F462C4" w:rsidRPr="00510125" w:rsidRDefault="00F462C4" w:rsidP="00510125">
      <w:pPr>
        <w:pStyle w:val="Style10"/>
        <w:keepNext/>
        <w:spacing w:line="360" w:lineRule="auto"/>
        <w:ind w:firstLine="720"/>
        <w:jc w:val="both"/>
        <w:rPr>
          <w:color w:val="000000"/>
          <w:sz w:val="28"/>
          <w:szCs w:val="20"/>
        </w:rPr>
      </w:pPr>
    </w:p>
    <w:p w:rsidR="00F462C4" w:rsidRPr="00510125" w:rsidRDefault="00F462C4" w:rsidP="00510125">
      <w:pPr>
        <w:pStyle w:val="Style10"/>
        <w:keepNext/>
        <w:spacing w:line="360" w:lineRule="auto"/>
        <w:ind w:firstLine="720"/>
        <w:jc w:val="center"/>
        <w:rPr>
          <w:rStyle w:val="FontStyle18"/>
          <w:color w:val="000000"/>
          <w:sz w:val="28"/>
        </w:rPr>
      </w:pPr>
      <w:r w:rsidRPr="00510125">
        <w:rPr>
          <w:rStyle w:val="FontStyle18"/>
          <w:color w:val="000000"/>
          <w:sz w:val="28"/>
        </w:rPr>
        <w:t>Зональность металлов</w:t>
      </w:r>
    </w:p>
    <w:p w:rsidR="00510125" w:rsidRDefault="00510125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 xml:space="preserve">Рисунок 1 показывает схематическое взаимоотношение </w:t>
      </w:r>
      <w:r w:rsidRPr="00510125">
        <w:rPr>
          <w:rStyle w:val="FontStyle21"/>
          <w:color w:val="000000"/>
          <w:sz w:val="28"/>
          <w:lang w:val="en-US"/>
        </w:rPr>
        <w:t>As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Sb</w:t>
      </w:r>
      <w:r w:rsidRPr="00510125">
        <w:rPr>
          <w:rStyle w:val="FontStyle21"/>
          <w:color w:val="000000"/>
          <w:sz w:val="28"/>
        </w:rPr>
        <w:t xml:space="preserve"> и таллия с золотом и серебром в модели "горячие источники"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Эта схема, в основном, идентифицировалась на основании работы в месторождении Маклевлин, для которого в свою очередь было установлено, что эта схема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основана на нашем понимании активных систем, аналогичных Бродлэндс и Вайотапу в Н. Зеландии.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Необходимо отметить, что рудная минерализация в Маклавлин должна обязательно присутствовать в "зинтерах". Хотя в Маклавлине имелись зинтеры, но в местах рудообразования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большая часть минерализации встречается на небольшой глубине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связанными с зонами интенсивного повторного брекчирования и окремнения.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 xml:space="preserve">Особая роль в распределении таллия в эпитермальных средах была отмечена </w:t>
      </w:r>
      <w:r w:rsidRPr="00510125">
        <w:rPr>
          <w:rStyle w:val="FontStyle21"/>
          <w:color w:val="000000"/>
          <w:sz w:val="28"/>
          <w:lang w:val="en-US"/>
        </w:rPr>
        <w:t>Weissbergom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 xml:space="preserve">и </w:t>
      </w:r>
      <w:r w:rsidRPr="00510125">
        <w:rPr>
          <w:rStyle w:val="FontStyle21"/>
          <w:color w:val="000000"/>
          <w:sz w:val="28"/>
          <w:lang w:val="en-US"/>
        </w:rPr>
        <w:t>Ewers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Keus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в их исследованиях активных систем в Н. Зеландии.</w:t>
      </w:r>
    </w:p>
    <w:p w:rsidR="00F462C4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Рисунок 2 показывает распределение сульфидов и концентрации золота, серебра, мышьяка, сурьмы и таллия в сульфидах из скв. 16 в Бродлэндс. Общая картина распределения благородных металлов, лежащих на неблагородных в эпитермальных системах, здесь чётко прослеживается в Вайотапу мышьяк, сурьма и таллий также стремятся концентрироваться вблизи поверхности, как и ртуть. Ртуть и таллий обязаны своим повышенным содержанием около поверхности благодаря их летучести. Также следует ожидать, что они могут иметь латеральную зональность по мере удаления от высокотемпературных участков системы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Следует отметить быстрое увеличение в сторону поверхности таких металлов, как ртуть, сурьма, таллий и мышьяк; это аналогично тому, что отмечается в некоторых месторождениях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Очевидно, что уровень, несмотря на гидротермальные изменения и минералообразование, будет наиболее важным фактором в определении аномальных содержаний металлов у поверхности</w:t>
      </w:r>
      <w:r w:rsidR="00C31BCC" w:rsidRPr="00510125">
        <w:rPr>
          <w:rStyle w:val="FontStyle21"/>
          <w:color w:val="000000"/>
          <w:sz w:val="28"/>
        </w:rPr>
        <w:t>.</w:t>
      </w:r>
    </w:p>
    <w:p w:rsidR="00510125" w:rsidRPr="00510125" w:rsidRDefault="00510125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</w:p>
    <w:p w:rsidR="00F462C4" w:rsidRPr="00510125" w:rsidRDefault="00550B43" w:rsidP="00510125">
      <w:pPr>
        <w:keepNext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222pt">
            <v:imagedata r:id="rId7" o:title=""/>
          </v:shape>
        </w:pic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color w:val="000000"/>
          <w:sz w:val="28"/>
          <w:szCs w:val="20"/>
        </w:rPr>
      </w:pPr>
    </w:p>
    <w:p w:rsidR="00F462C4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  <w:lang w:eastAsia="en-US"/>
        </w:rPr>
      </w:pPr>
      <w:r w:rsidRPr="00510125">
        <w:rPr>
          <w:rStyle w:val="FontStyle21"/>
          <w:color w:val="000000"/>
          <w:sz w:val="28"/>
          <w:lang w:val="en-US" w:eastAsia="en-US"/>
        </w:rPr>
        <w:t>Bonhan</w:t>
      </w:r>
      <w:r w:rsidRPr="00510125">
        <w:rPr>
          <w:rStyle w:val="FontStyle21"/>
          <w:color w:val="000000"/>
          <w:sz w:val="28"/>
          <w:lang w:eastAsia="en-US"/>
        </w:rPr>
        <w:t xml:space="preserve">, </w:t>
      </w:r>
      <w:r w:rsidRPr="00510125">
        <w:rPr>
          <w:rStyle w:val="FontStyle21"/>
          <w:color w:val="000000"/>
          <w:sz w:val="28"/>
          <w:lang w:val="en-US" w:eastAsia="en-US"/>
        </w:rPr>
        <w:t>Giles</w:t>
      </w:r>
      <w:r w:rsidR="00C31BCC" w:rsidRPr="00510125">
        <w:rPr>
          <w:rStyle w:val="FontStyle21"/>
          <w:color w:val="000000"/>
          <w:sz w:val="28"/>
          <w:lang w:eastAsia="en-US"/>
        </w:rPr>
        <w:t xml:space="preserve"> </w:t>
      </w:r>
      <w:r w:rsidRPr="00510125">
        <w:rPr>
          <w:rStyle w:val="FontStyle21"/>
          <w:color w:val="000000"/>
          <w:sz w:val="28"/>
          <w:lang w:eastAsia="en-US"/>
        </w:rPr>
        <w:t>предполагали, что отсутствие или присутствие определённых трековых элементов</w:t>
      </w:r>
      <w:r w:rsidR="00C31BCC" w:rsidRPr="00510125">
        <w:rPr>
          <w:rStyle w:val="FontStyle21"/>
          <w:color w:val="000000"/>
          <w:sz w:val="28"/>
          <w:lang w:eastAsia="en-US"/>
        </w:rPr>
        <w:t xml:space="preserve"> </w:t>
      </w:r>
      <w:r w:rsidRPr="00510125">
        <w:rPr>
          <w:rStyle w:val="FontStyle21"/>
          <w:color w:val="000000"/>
          <w:sz w:val="28"/>
          <w:lang w:eastAsia="en-US"/>
        </w:rPr>
        <w:t>в эпитермальных системах зависят от состава пород. Таблица 2 показывает насколько это предположение ошибочно, когда сравниваются концентрации металлов в поверхностных отложениях активных систем Вайотапу и Ваймангу в Н. Зеландии</w:t>
      </w:r>
      <w:r w:rsidR="00C31BCC" w:rsidRPr="00510125">
        <w:rPr>
          <w:rStyle w:val="FontStyle21"/>
          <w:color w:val="000000"/>
          <w:sz w:val="28"/>
          <w:lang w:eastAsia="en-US"/>
        </w:rPr>
        <w:t>.</w:t>
      </w:r>
    </w:p>
    <w:p w:rsidR="00F462C4" w:rsidRPr="00510125" w:rsidRDefault="00510125" w:rsidP="00510125">
      <w:pPr>
        <w:pStyle w:val="Style4"/>
        <w:keepNext/>
        <w:spacing w:line="360" w:lineRule="auto"/>
        <w:ind w:firstLine="720"/>
        <w:rPr>
          <w:color w:val="000000"/>
          <w:sz w:val="28"/>
        </w:rPr>
      </w:pPr>
      <w:r>
        <w:rPr>
          <w:rStyle w:val="FontStyle21"/>
          <w:color w:val="000000"/>
          <w:sz w:val="28"/>
          <w:lang w:eastAsia="en-US"/>
        </w:rPr>
        <w:br w:type="page"/>
      </w:r>
      <w:r w:rsidR="00550B43">
        <w:rPr>
          <w:color w:val="000000"/>
          <w:sz w:val="28"/>
        </w:rPr>
        <w:pict>
          <v:shape id="_x0000_i1026" type="#_x0000_t75" style="width:387.75pt;height:314.25pt">
            <v:imagedata r:id="rId8" o:title=""/>
          </v:shape>
        </w:pict>
      </w:r>
    </w:p>
    <w:p w:rsidR="00F462C4" w:rsidRPr="00510125" w:rsidRDefault="00550B43" w:rsidP="00510125">
      <w:pPr>
        <w:keepNext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402.75pt;height:237.75pt">
            <v:imagedata r:id="rId9" o:title=""/>
          </v:shape>
        </w:pict>
      </w:r>
    </w:p>
    <w:p w:rsidR="00510125" w:rsidRDefault="00510125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Вайотапу и Ваймангу располагаются на удалении 10 км друг от друга. Они имеют почти идентичное геологическое строение с точки зрения глубины, типа фундамента и состава вмещающих пород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и составы гидротерм в водовмещающих комплексах по существу одни и те же. Сравнение двух анализов поверхностных отложений показывает различие содержания таких элементов, как золото и олово, хотя они могут быть в географически, геологически и геохимически похожих районах. Высокое содержание олова в осадках Ваймангу вызвано селективным отложением его на гидроокислах железа, которые стабильны при рН 4 в поверхностных водах. Эти гидроокислы железа не стабильны в гидротермах оз. Шампанского</w:t>
      </w:r>
      <w:r w:rsidR="00C31BCC" w:rsidRPr="00510125">
        <w:rPr>
          <w:rStyle w:val="FontStyle21"/>
          <w:color w:val="000000"/>
          <w:sz w:val="28"/>
        </w:rPr>
        <w:t>;</w:t>
      </w:r>
      <w:r w:rsidRPr="00510125">
        <w:rPr>
          <w:rStyle w:val="FontStyle21"/>
          <w:color w:val="000000"/>
          <w:sz w:val="28"/>
        </w:rPr>
        <w:t xml:space="preserve"> скорее всего, уникальные химические условия оз. Шампанского являются главной причиной для эффективного отложения золота.</w:t>
      </w:r>
    </w:p>
    <w:p w:rsidR="00F462C4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 xml:space="preserve">Химический состав гидротерм и химические процессы важнее в определении ценности в большинстве месторождений, чем породы, из которых извлекаются элементы. </w:t>
      </w:r>
      <w:r w:rsidRPr="00510125">
        <w:rPr>
          <w:rStyle w:val="FontStyle21"/>
          <w:color w:val="000000"/>
          <w:sz w:val="28"/>
          <w:lang w:val="en-US"/>
        </w:rPr>
        <w:t>Q</w:t>
      </w:r>
      <w:r w:rsidRPr="00510125">
        <w:rPr>
          <w:rStyle w:val="FontStyle21"/>
          <w:color w:val="000000"/>
          <w:sz w:val="28"/>
        </w:rPr>
        <w:t>)</w:t>
      </w:r>
      <w:r w:rsidRPr="00510125">
        <w:rPr>
          <w:rStyle w:val="FontStyle21"/>
          <w:color w:val="000000"/>
          <w:sz w:val="28"/>
          <w:lang w:val="en-US"/>
        </w:rPr>
        <w:t>le</w:t>
      </w:r>
      <w:r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  <w:lang w:val="en-US"/>
        </w:rPr>
        <w:t>et</w:t>
      </w:r>
      <w:r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  <w:lang w:val="en-US"/>
        </w:rPr>
        <w:t>Ravinsky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обобщили данные по</w:t>
      </w:r>
      <w:r w:rsid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гидротермальным изменениям и металлической зональности пяти активных гидротермальных систем. Эти данные, как они отмечают, похожи на данные, выше рассмотренные.</w:t>
      </w:r>
    </w:p>
    <w:p w:rsidR="00510125" w:rsidRPr="00510125" w:rsidRDefault="00510125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</w:p>
    <w:p w:rsidR="00F462C4" w:rsidRPr="00510125" w:rsidRDefault="00F462C4" w:rsidP="00510125">
      <w:pPr>
        <w:pStyle w:val="Style3"/>
        <w:keepNext/>
        <w:tabs>
          <w:tab w:val="left" w:pos="2491"/>
        </w:tabs>
        <w:spacing w:line="360" w:lineRule="auto"/>
        <w:ind w:left="720"/>
        <w:jc w:val="center"/>
        <w:rPr>
          <w:rStyle w:val="FontStyle20"/>
          <w:color w:val="000000"/>
          <w:sz w:val="28"/>
        </w:rPr>
      </w:pPr>
      <w:r w:rsidRPr="00510125">
        <w:rPr>
          <w:rStyle w:val="FontStyle19"/>
          <w:color w:val="000000"/>
          <w:sz w:val="28"/>
        </w:rPr>
        <w:t>Современные модели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color w:val="000000"/>
          <w:sz w:val="28"/>
          <w:szCs w:val="20"/>
        </w:rPr>
      </w:pP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В этом разделе будут кратко рассмотрены модели, предложенные для различных эпитермальных систем, их применимость и ошибки. По существу, это обсуждение представит генетическое понимание эпитермальных систем, описанных в этой работе. Хотя разработка моделей открывает путь к разведке месторождений, необходимо знать, что каждая разведка имеет свои специфические особенности. Многие данные, которые ранее не привлекались, потому что они подходили к модным моделям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в конце концов "открывались" при изучении рудных месторождений в последнее время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Многообещающий генетический подход, который представлен, достаточно гибок, чтобы объединить в систему, которая не согласуется с моделью.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На рисунках 3-9 представлено несколько моделей эпитермальной минерализации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Эти авторы разделяют эпитермальные среды, подобно нашим предложениям</w:t>
      </w:r>
      <w:r w:rsidR="00C31BCC" w:rsidRPr="00510125">
        <w:rPr>
          <w:rStyle w:val="FontStyle21"/>
          <w:color w:val="000000"/>
          <w:sz w:val="28"/>
        </w:rPr>
        <w:t>.</w:t>
      </w:r>
      <w:r w:rsidRPr="00510125">
        <w:rPr>
          <w:rStyle w:val="FontStyle21"/>
          <w:color w:val="000000"/>
          <w:sz w:val="28"/>
        </w:rPr>
        <w:t xml:space="preserve"> Они характеризуются тем, что делается попытка эмпирически суммировать гидротермальные изменения, минерализацию, структуру, распределение т. д. для объяснения эпитермальных систем. Следовательно, они часто содержат многие аналогии и с точки зрения обобщения наблюдений они обычно корректны. Однако мы предпочитаем решать проблему, во-первых, скрещивая "что я знаю о гидротермальном потоке и процессах в эпитермальных средах, как древних, так и современных и как они связаны со структурой, геологией, геохимией и геофизическими аномалиями, гидротермальными изменениями и минерализацией". Во-вторых, необходимо изучить каждую часть доказательств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чтобы реконструировать эпитермальную систему. Рассмотрим модели, предложенные </w:t>
      </w:r>
      <w:r w:rsidRPr="00510125">
        <w:rPr>
          <w:rStyle w:val="FontStyle21"/>
          <w:color w:val="000000"/>
          <w:sz w:val="28"/>
          <w:lang w:val="en-US"/>
        </w:rPr>
        <w:t>Henley</w:t>
      </w:r>
      <w:r w:rsidRPr="00510125">
        <w:rPr>
          <w:rStyle w:val="FontStyle21"/>
          <w:color w:val="000000"/>
          <w:sz w:val="28"/>
        </w:rPr>
        <w:t xml:space="preserve">, </w:t>
      </w:r>
      <w:r w:rsidRPr="00510125">
        <w:rPr>
          <w:rStyle w:val="FontStyle21"/>
          <w:color w:val="000000"/>
          <w:sz w:val="28"/>
          <w:lang w:val="en-US"/>
        </w:rPr>
        <w:t>Ellis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которые основаны на сопоставлении этих данных с данными по активным системам и понимании гидротермальных процессов.</w:t>
      </w:r>
    </w:p>
    <w:p w:rsidR="00F462C4" w:rsidRPr="00510125" w:rsidRDefault="00510125" w:rsidP="00510125">
      <w:pPr>
        <w:pStyle w:val="Style3"/>
        <w:keepNext/>
        <w:tabs>
          <w:tab w:val="left" w:pos="2491"/>
        </w:tabs>
        <w:spacing w:line="360" w:lineRule="auto"/>
        <w:ind w:left="720"/>
        <w:jc w:val="center"/>
        <w:rPr>
          <w:rStyle w:val="FontStyle20"/>
          <w:color w:val="000000"/>
          <w:sz w:val="28"/>
        </w:rPr>
      </w:pPr>
      <w:r>
        <w:rPr>
          <w:rStyle w:val="FontStyle19"/>
          <w:b w:val="0"/>
          <w:color w:val="000000"/>
          <w:sz w:val="28"/>
        </w:rPr>
        <w:br w:type="page"/>
      </w:r>
      <w:r w:rsidR="00F462C4" w:rsidRPr="00510125">
        <w:rPr>
          <w:rStyle w:val="FontStyle19"/>
          <w:color w:val="000000"/>
          <w:sz w:val="28"/>
        </w:rPr>
        <w:t>Заключение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color w:val="000000"/>
          <w:sz w:val="28"/>
          <w:szCs w:val="20"/>
        </w:rPr>
      </w:pP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Картирование таких характерных структур как эксплозивная брекчия, ископаемые грязевые котлы, ископаемые горизонты поверхностных окремнений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брекчий обрушения, зон кислотного выщелачивания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и зон гидротермального минералообразования</w:t>
      </w:r>
      <w:r w:rsidR="00C31BCC" w:rsidRPr="00510125">
        <w:rPr>
          <w:rStyle w:val="FontStyle21"/>
          <w:color w:val="000000"/>
          <w:sz w:val="28"/>
        </w:rPr>
        <w:t xml:space="preserve"> </w:t>
      </w:r>
      <w:r w:rsidRPr="00510125">
        <w:rPr>
          <w:rStyle w:val="FontStyle21"/>
          <w:color w:val="000000"/>
          <w:sz w:val="28"/>
        </w:rPr>
        <w:t>поможет реконструировать субповерхностную среду палеосистем. Однако необходимо подчеркнуть, что большинство этих поверхностных структур быстро уничтожаются эрозией, если даже присутствовали вообще. В литературе приводятся описания поверхностных окремнений "зинтер" в ассоциации с другими свидетельствами о температуре 200</w:t>
      </w:r>
      <w:r w:rsidRPr="00510125">
        <w:rPr>
          <w:rStyle w:val="FontStyle21"/>
          <w:color w:val="000000"/>
          <w:sz w:val="28"/>
          <w:vertAlign w:val="superscript"/>
        </w:rPr>
        <w:t>0</w:t>
      </w:r>
      <w:r w:rsidRPr="00510125">
        <w:rPr>
          <w:rStyle w:val="FontStyle21"/>
          <w:color w:val="000000"/>
          <w:sz w:val="28"/>
        </w:rPr>
        <w:t>С</w:t>
      </w:r>
      <w:r w:rsidR="00C31BCC" w:rsidRPr="00510125">
        <w:rPr>
          <w:rStyle w:val="FontStyle21"/>
          <w:color w:val="000000"/>
          <w:sz w:val="28"/>
        </w:rPr>
        <w:t>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Такая реконструкция поможет направить исследования участков сосредоточения рудообразования в палеосистемах. Этот подход может быть полезным там, где обнажена лишь часть палеосистемы, другая часть которой скрыта под молодыми отложениями</w:t>
      </w:r>
      <w:r w:rsidR="00C31BCC" w:rsidRPr="00510125">
        <w:rPr>
          <w:rStyle w:val="FontStyle21"/>
          <w:color w:val="000000"/>
          <w:sz w:val="28"/>
        </w:rPr>
        <w:t>.</w:t>
      </w:r>
    </w:p>
    <w:p w:rsidR="00F462C4" w:rsidRPr="00510125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Поскольку подошва зон поверхностной аргиллизации может быть в виде смешения палеозоя, она должны детально исследоваться, т.к. отложение золота может происходить в переходной зоне между различными типами гидротермальных изменений. Флюидные включения могут быть определяющими в установлении градиентов температур и зон подземного кипения.</w:t>
      </w:r>
    </w:p>
    <w:p w:rsidR="00F462C4" w:rsidRDefault="00F462C4" w:rsidP="00510125">
      <w:pPr>
        <w:pStyle w:val="Style4"/>
        <w:keepNext/>
        <w:spacing w:line="360" w:lineRule="auto"/>
        <w:ind w:firstLine="720"/>
        <w:rPr>
          <w:rStyle w:val="FontStyle21"/>
          <w:color w:val="000000"/>
          <w:sz w:val="28"/>
        </w:rPr>
      </w:pPr>
      <w:r w:rsidRPr="00510125">
        <w:rPr>
          <w:rStyle w:val="FontStyle21"/>
          <w:color w:val="000000"/>
          <w:sz w:val="28"/>
        </w:rPr>
        <w:t>Наибольшую пользу для геологоразведки представляет получение общей картины гидротермальной зональности и использование такого метода, как флюидные включения и рентгеноструктурные исследования гидротермальных минералов. Исследование отдельных ключевых минералов и отношение их содержаний может дать направление не проявленное в других параметрах. Это должно дать представление о том, что зональность гидротермальных минералов может быть различной в разных системах. Таким образом, единой, устойчивой не всегда применимой по всем ситуациям. Рентгеноструктурные исследования гидротермальных минералов, по существу, применимы к районам кислотного выщелачивания, в которых минералы трудно диагностируются. Такие районы часто "геохимически немые", несмотря на наличие рудной минерализации под такими экранами. Следовательно, предполагается, должен быть набор академических методов</w:t>
      </w:r>
      <w:r w:rsidR="00C31BCC" w:rsidRPr="00510125">
        <w:rPr>
          <w:rStyle w:val="FontStyle21"/>
          <w:color w:val="000000"/>
          <w:sz w:val="28"/>
        </w:rPr>
        <w:t>,</w:t>
      </w:r>
      <w:r w:rsidRPr="00510125">
        <w:rPr>
          <w:rStyle w:val="FontStyle21"/>
          <w:color w:val="000000"/>
          <w:sz w:val="28"/>
        </w:rPr>
        <w:t xml:space="preserve"> который обеспечит в настоящее время непосредственную реализацию геолого-разведочных работ.</w:t>
      </w:r>
    </w:p>
    <w:p w:rsidR="00F462C4" w:rsidRPr="00510125" w:rsidRDefault="00510125" w:rsidP="00510125">
      <w:pPr>
        <w:pStyle w:val="Style4"/>
        <w:keepNext/>
        <w:spacing w:line="360" w:lineRule="auto"/>
        <w:ind w:firstLine="720"/>
        <w:rPr>
          <w:color w:val="000000"/>
          <w:sz w:val="28"/>
          <w:szCs w:val="2"/>
        </w:rPr>
      </w:pPr>
      <w:r>
        <w:rPr>
          <w:rStyle w:val="FontStyle21"/>
          <w:color w:val="000000"/>
          <w:sz w:val="28"/>
        </w:rPr>
        <w:br w:type="page"/>
      </w:r>
      <w:r w:rsidR="00550B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22.85pt;height:312.2pt;z-index:251656192;mso-wrap-edited:f;mso-wrap-distance-left:7in;mso-wrap-distance-right:7in;mso-position-horizontal-relative:margin" filled="f" stroked="f">
            <v:textbox inset="0,0,0,0">
              <w:txbxContent>
                <w:p w:rsidR="00F462C4" w:rsidRDefault="00550B43">
                  <w:pPr>
                    <w:widowControl/>
                  </w:pPr>
                  <w:r>
                    <w:pict>
                      <v:shape id="_x0000_i1029" type="#_x0000_t75" style="width:423pt;height:312pt">
                        <v:imagedata r:id="rId10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="00550B43">
        <w:rPr>
          <w:noProof/>
        </w:rPr>
        <w:pict>
          <v:shape id="_x0000_s1027" type="#_x0000_t202" style="position:absolute;left:0;text-align:left;margin-left:0;margin-top:316.1pt;width:400.55pt;height:352.55pt;z-index:251657216;mso-wrap-edited:f;mso-wrap-distance-left:7in;mso-wrap-distance-right:7in;mso-position-horizontal-relative:margin" filled="f" stroked="f">
            <v:textbox inset="0,0,0,0">
              <w:txbxContent>
                <w:p w:rsidR="00F462C4" w:rsidRDefault="00550B43">
                  <w:pPr>
                    <w:widowControl/>
                  </w:pPr>
                  <w:r>
                    <w:pict>
                      <v:shape id="_x0000_i1031" type="#_x0000_t75" style="width:400.5pt;height:352.5pt">
                        <v:imagedata r:id="rId11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p w:rsidR="00871166" w:rsidRPr="00510125" w:rsidRDefault="00510125" w:rsidP="00510125">
      <w:pPr>
        <w:keepNext/>
        <w:spacing w:line="360" w:lineRule="auto"/>
        <w:ind w:firstLine="720"/>
        <w:jc w:val="both"/>
        <w:rPr>
          <w:color w:val="000000"/>
          <w:sz w:val="28"/>
          <w:szCs w:val="2"/>
        </w:rPr>
      </w:pPr>
      <w:r>
        <w:rPr>
          <w:color w:val="000000"/>
          <w:sz w:val="28"/>
          <w:szCs w:val="2"/>
        </w:rPr>
        <w:br w:type="page"/>
      </w:r>
      <w:r w:rsidR="00550B43">
        <w:rPr>
          <w:noProof/>
        </w:rPr>
        <w:pict>
          <v:shape id="_x0000_s1028" type="#_x0000_t202" style="position:absolute;left:0;text-align:left;margin-left:38.4pt;margin-top:0;width:417.1pt;height:284.4pt;z-index:251658240;mso-wrap-edited:f;mso-wrap-distance-left:7in;mso-wrap-distance-right:7in;mso-position-horizontal-relative:margin" filled="f" stroked="f">
            <v:textbox inset="0,0,0,0">
              <w:txbxContent>
                <w:p w:rsidR="00F462C4" w:rsidRDefault="00550B43">
                  <w:pPr>
                    <w:widowControl/>
                  </w:pPr>
                  <w:r>
                    <w:pict>
                      <v:shape id="_x0000_i1033" type="#_x0000_t75" style="width:417pt;height:284.25pt">
                        <v:imagedata r:id="rId12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="00550B43">
        <w:rPr>
          <w:noProof/>
        </w:rPr>
        <w:pict>
          <v:shape id="_x0000_s1029" type="#_x0000_t202" style="position:absolute;left:0;text-align:left;margin-left:0;margin-top:294.95pt;width:473.75pt;height:383.05pt;z-index:251659264;mso-wrap-edited:f;mso-wrap-distance-left:7in;mso-wrap-distance-right:7in;mso-position-horizontal-relative:margin" filled="f" stroked="f">
            <v:textbox inset="0,0,0,0">
              <w:txbxContent>
                <w:p w:rsidR="00F462C4" w:rsidRDefault="00550B43">
                  <w:pPr>
                    <w:widowControl/>
                  </w:pPr>
                  <w:r>
                    <w:pict>
                      <v:shape id="_x0000_i1035" type="#_x0000_t75" style="width:474pt;height:383.25pt">
                        <v:imagedata r:id="rId13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bookmarkStart w:id="0" w:name="_GoBack"/>
      <w:bookmarkEnd w:id="0"/>
    </w:p>
    <w:sectPr w:rsidR="00871166" w:rsidRPr="00510125" w:rsidSect="00510125">
      <w:pgSz w:w="11906" w:h="16838" w:code="9"/>
      <w:pgMar w:top="1134" w:right="851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504" w:rsidRDefault="00B52504">
      <w:r>
        <w:separator/>
      </w:r>
    </w:p>
  </w:endnote>
  <w:endnote w:type="continuationSeparator" w:id="0">
    <w:p w:rsidR="00B52504" w:rsidRDefault="00B5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504" w:rsidRDefault="00B52504">
      <w:r>
        <w:separator/>
      </w:r>
    </w:p>
  </w:footnote>
  <w:footnote w:type="continuationSeparator" w:id="0">
    <w:p w:rsidR="00B52504" w:rsidRDefault="00B5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243E"/>
    <w:multiLevelType w:val="singleLevel"/>
    <w:tmpl w:val="2DD6ED5C"/>
    <w:lvl w:ilvl="0">
      <w:start w:val="3"/>
      <w:numFmt w:val="decimal"/>
      <w:lvlText w:val="9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">
    <w:nsid w:val="332E222D"/>
    <w:multiLevelType w:val="singleLevel"/>
    <w:tmpl w:val="B538A372"/>
    <w:lvl w:ilvl="0">
      <w:start w:val="1"/>
      <w:numFmt w:val="decimal"/>
      <w:lvlText w:val="9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">
    <w:nsid w:val="52D4485C"/>
    <w:multiLevelType w:val="singleLevel"/>
    <w:tmpl w:val="8D825580"/>
    <w:lvl w:ilvl="0">
      <w:start w:val="4"/>
      <w:numFmt w:val="decimal"/>
      <w:lvlText w:val="9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">
    <w:nsid w:val="5C307227"/>
    <w:multiLevelType w:val="singleLevel"/>
    <w:tmpl w:val="07ACA302"/>
    <w:lvl w:ilvl="0">
      <w:start w:val="2"/>
      <w:numFmt w:val="decimal"/>
      <w:lvlText w:val="9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EB2"/>
    <w:rsid w:val="000905AA"/>
    <w:rsid w:val="00383EB2"/>
    <w:rsid w:val="00510125"/>
    <w:rsid w:val="00550B43"/>
    <w:rsid w:val="00871166"/>
    <w:rsid w:val="00966D3B"/>
    <w:rsid w:val="00B52504"/>
    <w:rsid w:val="00C13244"/>
    <w:rsid w:val="00C31BCC"/>
    <w:rsid w:val="00D6465E"/>
    <w:rsid w:val="00DA2A07"/>
    <w:rsid w:val="00E20899"/>
    <w:rsid w:val="00F462C4"/>
    <w:rsid w:val="00FF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4F6AF624-C13D-46B4-938D-3DF84957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  <w:pPr>
      <w:spacing w:line="322" w:lineRule="exact"/>
      <w:ind w:hanging="1018"/>
    </w:pPr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230" w:lineRule="exact"/>
      <w:ind w:firstLine="850"/>
      <w:jc w:val="both"/>
    </w:pPr>
  </w:style>
  <w:style w:type="paragraph" w:customStyle="1" w:styleId="Style5">
    <w:name w:val="Style5"/>
    <w:basedOn w:val="a"/>
  </w:style>
  <w:style w:type="paragraph" w:customStyle="1" w:styleId="Style6">
    <w:name w:val="Style6"/>
    <w:basedOn w:val="a"/>
    <w:pPr>
      <w:jc w:val="both"/>
    </w:pPr>
  </w:style>
  <w:style w:type="paragraph" w:customStyle="1" w:styleId="Style7">
    <w:name w:val="Style7"/>
    <w:basedOn w:val="a"/>
    <w:pPr>
      <w:spacing w:line="230" w:lineRule="exact"/>
      <w:ind w:hanging="2107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  <w:pPr>
      <w:spacing w:line="230" w:lineRule="exact"/>
      <w:ind w:firstLine="2083"/>
    </w:pPr>
  </w:style>
  <w:style w:type="character" w:customStyle="1" w:styleId="FontStyle13">
    <w:name w:val="Font Style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7">
    <w:name w:val="Font Style17"/>
    <w:rPr>
      <w:rFonts w:ascii="Times New Roman" w:hAnsi="Times New Roman" w:cs="Times New Roman"/>
      <w:sz w:val="14"/>
      <w:szCs w:val="14"/>
    </w:rPr>
  </w:style>
  <w:style w:type="character" w:customStyle="1" w:styleId="FontStyle18">
    <w:name w:val="Font Style1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2014-03-13T15:44:00Z</dcterms:created>
  <dcterms:modified xsi:type="dcterms:W3CDTF">2014-03-13T15:44:00Z</dcterms:modified>
</cp:coreProperties>
</file>