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398" w:rsidRPr="008B39B5" w:rsidRDefault="00567398" w:rsidP="00FA365D">
      <w:pPr>
        <w:spacing w:line="360" w:lineRule="auto"/>
        <w:jc w:val="center"/>
        <w:rPr>
          <w:rFonts w:ascii="Times New Roman" w:hAnsi="Times New Roman" w:cs="Times New Roman"/>
          <w:color w:val="000000"/>
          <w:sz w:val="28"/>
          <w:szCs w:val="28"/>
        </w:rPr>
      </w:pPr>
      <w:r w:rsidRPr="008B39B5">
        <w:rPr>
          <w:rFonts w:ascii="Times New Roman" w:hAnsi="Times New Roman" w:cs="Times New Roman"/>
          <w:color w:val="000000"/>
          <w:sz w:val="28"/>
          <w:szCs w:val="28"/>
        </w:rPr>
        <w:t>МІНІСТЕРСТВО ОСВІТИ І НАУКИ УКРАЇНИ</w:t>
      </w:r>
    </w:p>
    <w:p w:rsidR="00567398" w:rsidRPr="008B39B5" w:rsidRDefault="00567398" w:rsidP="00FA365D">
      <w:pPr>
        <w:spacing w:line="360" w:lineRule="auto"/>
        <w:jc w:val="center"/>
        <w:rPr>
          <w:rFonts w:ascii="Times New Roman" w:hAnsi="Times New Roman" w:cs="Times New Roman"/>
          <w:color w:val="000000"/>
          <w:sz w:val="28"/>
          <w:szCs w:val="28"/>
        </w:rPr>
      </w:pPr>
      <w:r w:rsidRPr="008B39B5">
        <w:rPr>
          <w:rFonts w:ascii="Times New Roman" w:hAnsi="Times New Roman" w:cs="Times New Roman"/>
          <w:color w:val="000000"/>
          <w:sz w:val="28"/>
          <w:szCs w:val="28"/>
        </w:rPr>
        <w:t>ПВНЗ «Європейський університет»</w:t>
      </w:r>
    </w:p>
    <w:p w:rsidR="00567398" w:rsidRPr="008B39B5" w:rsidRDefault="00567398" w:rsidP="00FA365D">
      <w:pPr>
        <w:spacing w:line="360" w:lineRule="auto"/>
        <w:jc w:val="center"/>
        <w:rPr>
          <w:rFonts w:ascii="Times New Roman" w:hAnsi="Times New Roman" w:cs="Times New Roman"/>
          <w:color w:val="000000"/>
          <w:sz w:val="28"/>
          <w:szCs w:val="28"/>
        </w:rPr>
      </w:pPr>
      <w:r w:rsidRPr="008B39B5">
        <w:rPr>
          <w:rFonts w:ascii="Times New Roman" w:hAnsi="Times New Roman" w:cs="Times New Roman"/>
          <w:color w:val="000000"/>
          <w:sz w:val="28"/>
          <w:szCs w:val="28"/>
        </w:rPr>
        <w:t>Житомирська філія</w:t>
      </w:r>
    </w:p>
    <w:p w:rsidR="00567398" w:rsidRPr="008B39B5" w:rsidRDefault="00567398" w:rsidP="00FA365D">
      <w:pPr>
        <w:spacing w:line="360" w:lineRule="auto"/>
        <w:jc w:val="center"/>
        <w:rPr>
          <w:rFonts w:ascii="Times New Roman" w:hAnsi="Times New Roman" w:cs="Times New Roman"/>
          <w:color w:val="000000"/>
          <w:sz w:val="28"/>
          <w:szCs w:val="28"/>
        </w:rPr>
      </w:pPr>
      <w:r w:rsidRPr="008B39B5">
        <w:rPr>
          <w:rFonts w:ascii="Times New Roman" w:hAnsi="Times New Roman" w:cs="Times New Roman"/>
          <w:color w:val="000000"/>
          <w:sz w:val="28"/>
          <w:szCs w:val="28"/>
        </w:rPr>
        <w:t>Кафедра «Фінанси»</w:t>
      </w:r>
    </w:p>
    <w:p w:rsidR="00FA365D" w:rsidRPr="00B074ED" w:rsidRDefault="00FA365D" w:rsidP="008B39B5">
      <w:pPr>
        <w:spacing w:line="360" w:lineRule="auto"/>
        <w:jc w:val="both"/>
        <w:rPr>
          <w:rFonts w:ascii="Times New Roman" w:hAnsi="Times New Roman" w:cs="Times New Roman"/>
          <w:caps/>
          <w:color w:val="000000"/>
          <w:sz w:val="28"/>
          <w:szCs w:val="28"/>
          <w:lang w:val="ru-RU"/>
        </w:rPr>
      </w:pPr>
    </w:p>
    <w:p w:rsidR="00FA365D" w:rsidRPr="00B074ED" w:rsidRDefault="00FA365D" w:rsidP="008B39B5">
      <w:pPr>
        <w:spacing w:line="360" w:lineRule="auto"/>
        <w:jc w:val="both"/>
        <w:rPr>
          <w:rFonts w:ascii="Times New Roman" w:hAnsi="Times New Roman" w:cs="Times New Roman"/>
          <w:caps/>
          <w:color w:val="000000"/>
          <w:sz w:val="28"/>
          <w:szCs w:val="28"/>
          <w:lang w:val="ru-RU"/>
        </w:rPr>
      </w:pPr>
    </w:p>
    <w:p w:rsidR="00FA365D" w:rsidRPr="00B074ED" w:rsidRDefault="00FA365D" w:rsidP="008B39B5">
      <w:pPr>
        <w:spacing w:line="360" w:lineRule="auto"/>
        <w:jc w:val="both"/>
        <w:rPr>
          <w:rFonts w:ascii="Times New Roman" w:hAnsi="Times New Roman" w:cs="Times New Roman"/>
          <w:caps/>
          <w:color w:val="000000"/>
          <w:sz w:val="28"/>
          <w:szCs w:val="28"/>
          <w:lang w:val="ru-RU"/>
        </w:rPr>
      </w:pPr>
    </w:p>
    <w:p w:rsidR="00FA365D" w:rsidRPr="00B074ED" w:rsidRDefault="00FA365D" w:rsidP="008B39B5">
      <w:pPr>
        <w:spacing w:line="360" w:lineRule="auto"/>
        <w:jc w:val="both"/>
        <w:rPr>
          <w:rFonts w:ascii="Times New Roman" w:hAnsi="Times New Roman" w:cs="Times New Roman"/>
          <w:caps/>
          <w:color w:val="000000"/>
          <w:sz w:val="28"/>
          <w:szCs w:val="28"/>
          <w:lang w:val="ru-RU"/>
        </w:rPr>
      </w:pPr>
    </w:p>
    <w:p w:rsidR="00FA365D" w:rsidRPr="00B074ED" w:rsidRDefault="00FA365D" w:rsidP="008B39B5">
      <w:pPr>
        <w:spacing w:line="360" w:lineRule="auto"/>
        <w:jc w:val="both"/>
        <w:rPr>
          <w:rFonts w:ascii="Times New Roman" w:hAnsi="Times New Roman" w:cs="Times New Roman"/>
          <w:caps/>
          <w:color w:val="000000"/>
          <w:sz w:val="28"/>
          <w:szCs w:val="28"/>
          <w:lang w:val="ru-RU"/>
        </w:rPr>
      </w:pPr>
    </w:p>
    <w:p w:rsidR="00FA365D" w:rsidRPr="00B074ED" w:rsidRDefault="00FA365D" w:rsidP="008B39B5">
      <w:pPr>
        <w:spacing w:line="360" w:lineRule="auto"/>
        <w:jc w:val="both"/>
        <w:rPr>
          <w:rFonts w:ascii="Times New Roman" w:hAnsi="Times New Roman" w:cs="Times New Roman"/>
          <w:caps/>
          <w:color w:val="000000"/>
          <w:sz w:val="28"/>
          <w:szCs w:val="28"/>
          <w:lang w:val="ru-RU"/>
        </w:rPr>
      </w:pPr>
    </w:p>
    <w:p w:rsidR="00FA365D" w:rsidRPr="00B074ED" w:rsidRDefault="00FA365D" w:rsidP="008B39B5">
      <w:pPr>
        <w:spacing w:line="360" w:lineRule="auto"/>
        <w:jc w:val="both"/>
        <w:rPr>
          <w:rFonts w:ascii="Times New Roman" w:hAnsi="Times New Roman" w:cs="Times New Roman"/>
          <w:caps/>
          <w:color w:val="000000"/>
          <w:sz w:val="28"/>
          <w:szCs w:val="28"/>
          <w:lang w:val="ru-RU"/>
        </w:rPr>
      </w:pPr>
    </w:p>
    <w:p w:rsidR="00FA365D" w:rsidRPr="00B074ED" w:rsidRDefault="00FA365D" w:rsidP="008B39B5">
      <w:pPr>
        <w:spacing w:line="360" w:lineRule="auto"/>
        <w:jc w:val="both"/>
        <w:rPr>
          <w:rFonts w:ascii="Times New Roman" w:hAnsi="Times New Roman" w:cs="Times New Roman"/>
          <w:caps/>
          <w:color w:val="000000"/>
          <w:sz w:val="28"/>
          <w:szCs w:val="28"/>
          <w:lang w:val="ru-RU"/>
        </w:rPr>
      </w:pPr>
    </w:p>
    <w:p w:rsidR="00FA365D" w:rsidRPr="00B074ED" w:rsidRDefault="00FA365D" w:rsidP="008B39B5">
      <w:pPr>
        <w:spacing w:line="360" w:lineRule="auto"/>
        <w:jc w:val="both"/>
        <w:rPr>
          <w:rFonts w:ascii="Times New Roman" w:hAnsi="Times New Roman" w:cs="Times New Roman"/>
          <w:caps/>
          <w:color w:val="000000"/>
          <w:sz w:val="28"/>
          <w:szCs w:val="28"/>
          <w:lang w:val="ru-RU"/>
        </w:rPr>
      </w:pPr>
    </w:p>
    <w:p w:rsidR="00567398" w:rsidRPr="008B39B5" w:rsidRDefault="00567398" w:rsidP="00FA365D">
      <w:pPr>
        <w:spacing w:line="360" w:lineRule="auto"/>
        <w:jc w:val="center"/>
        <w:rPr>
          <w:rFonts w:ascii="Times New Roman" w:hAnsi="Times New Roman" w:cs="Times New Roman"/>
          <w:caps/>
          <w:color w:val="000000"/>
          <w:sz w:val="28"/>
          <w:szCs w:val="28"/>
        </w:rPr>
      </w:pPr>
      <w:r w:rsidRPr="008B39B5">
        <w:rPr>
          <w:rFonts w:ascii="Times New Roman" w:hAnsi="Times New Roman" w:cs="Times New Roman"/>
          <w:caps/>
          <w:color w:val="000000"/>
          <w:sz w:val="28"/>
          <w:szCs w:val="28"/>
        </w:rPr>
        <w:t>Контрольна робота</w:t>
      </w:r>
    </w:p>
    <w:p w:rsidR="00567398" w:rsidRPr="008B39B5" w:rsidRDefault="00567398" w:rsidP="00FA365D">
      <w:pPr>
        <w:spacing w:line="360" w:lineRule="auto"/>
        <w:jc w:val="center"/>
        <w:rPr>
          <w:rFonts w:ascii="Times New Roman" w:hAnsi="Times New Roman" w:cs="Times New Roman"/>
          <w:color w:val="000000"/>
          <w:sz w:val="28"/>
          <w:szCs w:val="28"/>
        </w:rPr>
      </w:pPr>
      <w:r w:rsidRPr="008B39B5">
        <w:rPr>
          <w:rFonts w:ascii="Times New Roman" w:hAnsi="Times New Roman" w:cs="Times New Roman"/>
          <w:color w:val="000000"/>
          <w:sz w:val="28"/>
          <w:szCs w:val="28"/>
        </w:rPr>
        <w:t>З дисципліни «Фінансовий ринок»</w:t>
      </w:r>
    </w:p>
    <w:p w:rsidR="00567398" w:rsidRPr="008B39B5" w:rsidRDefault="00567398" w:rsidP="00FA365D">
      <w:pPr>
        <w:spacing w:line="360" w:lineRule="auto"/>
        <w:jc w:val="center"/>
        <w:rPr>
          <w:rFonts w:ascii="Times New Roman" w:hAnsi="Times New Roman" w:cs="Times New Roman"/>
          <w:color w:val="000000"/>
          <w:sz w:val="28"/>
          <w:szCs w:val="28"/>
        </w:rPr>
      </w:pPr>
      <w:r w:rsidRPr="008B39B5">
        <w:rPr>
          <w:rFonts w:ascii="Times New Roman" w:hAnsi="Times New Roman" w:cs="Times New Roman"/>
          <w:color w:val="000000"/>
          <w:sz w:val="28"/>
          <w:szCs w:val="28"/>
        </w:rPr>
        <w:t>на тему «Характеристика цінних паперів»</w:t>
      </w:r>
    </w:p>
    <w:p w:rsidR="00567398" w:rsidRPr="008B39B5" w:rsidRDefault="00567398" w:rsidP="008B39B5">
      <w:pPr>
        <w:spacing w:line="360" w:lineRule="auto"/>
        <w:jc w:val="both"/>
        <w:rPr>
          <w:rFonts w:ascii="Times New Roman" w:hAnsi="Times New Roman" w:cs="Times New Roman"/>
          <w:color w:val="000000"/>
          <w:sz w:val="28"/>
          <w:szCs w:val="28"/>
        </w:rPr>
      </w:pPr>
    </w:p>
    <w:p w:rsidR="00567398" w:rsidRPr="008B39B5" w:rsidRDefault="00567398" w:rsidP="008B39B5">
      <w:pPr>
        <w:spacing w:line="360" w:lineRule="auto"/>
        <w:jc w:val="both"/>
        <w:rPr>
          <w:rFonts w:ascii="Times New Roman" w:hAnsi="Times New Roman" w:cs="Times New Roman"/>
          <w:color w:val="000000"/>
          <w:sz w:val="28"/>
          <w:szCs w:val="28"/>
        </w:rPr>
      </w:pPr>
    </w:p>
    <w:p w:rsidR="00567398" w:rsidRPr="008B39B5" w:rsidRDefault="00567398" w:rsidP="008B39B5">
      <w:pPr>
        <w:spacing w:line="360" w:lineRule="auto"/>
        <w:jc w:val="both"/>
        <w:rPr>
          <w:rFonts w:ascii="Times New Roman" w:hAnsi="Times New Roman" w:cs="Times New Roman"/>
          <w:color w:val="000000"/>
          <w:sz w:val="28"/>
          <w:szCs w:val="28"/>
        </w:rPr>
      </w:pPr>
    </w:p>
    <w:p w:rsidR="00567398" w:rsidRPr="008B39B5" w:rsidRDefault="00567398" w:rsidP="008B39B5">
      <w:pPr>
        <w:spacing w:line="360" w:lineRule="auto"/>
        <w:jc w:val="both"/>
        <w:rPr>
          <w:rFonts w:ascii="Times New Roman" w:hAnsi="Times New Roman" w:cs="Times New Roman"/>
          <w:color w:val="000000"/>
          <w:sz w:val="28"/>
          <w:szCs w:val="28"/>
        </w:rPr>
      </w:pPr>
    </w:p>
    <w:p w:rsidR="00567398" w:rsidRPr="008B39B5" w:rsidRDefault="00567398" w:rsidP="008B39B5">
      <w:pPr>
        <w:pStyle w:val="a3"/>
        <w:spacing w:line="360" w:lineRule="auto"/>
        <w:ind w:left="0"/>
        <w:jc w:val="both"/>
        <w:rPr>
          <w:rFonts w:ascii="Times New Roman" w:hAnsi="Times New Roman" w:cs="Times New Roman"/>
          <w:color w:val="000000"/>
          <w:sz w:val="28"/>
          <w:szCs w:val="28"/>
        </w:rPr>
      </w:pPr>
    </w:p>
    <w:p w:rsidR="00567398" w:rsidRPr="008B39B5" w:rsidRDefault="00567398" w:rsidP="008B39B5">
      <w:pPr>
        <w:pStyle w:val="a3"/>
        <w:spacing w:line="360" w:lineRule="auto"/>
        <w:ind w:left="0"/>
        <w:jc w:val="both"/>
        <w:rPr>
          <w:rFonts w:ascii="Times New Roman" w:hAnsi="Times New Roman" w:cs="Times New Roman"/>
          <w:color w:val="000000"/>
          <w:sz w:val="28"/>
          <w:szCs w:val="28"/>
        </w:rPr>
      </w:pPr>
    </w:p>
    <w:p w:rsidR="00567398" w:rsidRPr="008B39B5" w:rsidRDefault="00567398" w:rsidP="008B39B5">
      <w:pPr>
        <w:pStyle w:val="a3"/>
        <w:spacing w:line="360" w:lineRule="auto"/>
        <w:ind w:left="0"/>
        <w:jc w:val="both"/>
        <w:rPr>
          <w:rFonts w:ascii="Times New Roman" w:hAnsi="Times New Roman" w:cs="Times New Roman"/>
          <w:color w:val="000000"/>
          <w:sz w:val="28"/>
          <w:szCs w:val="28"/>
        </w:rPr>
      </w:pPr>
    </w:p>
    <w:p w:rsidR="00567398" w:rsidRPr="00B074ED" w:rsidRDefault="00567398" w:rsidP="008B39B5">
      <w:pPr>
        <w:pStyle w:val="a3"/>
        <w:spacing w:line="360" w:lineRule="auto"/>
        <w:ind w:left="0"/>
        <w:jc w:val="both"/>
        <w:rPr>
          <w:rFonts w:ascii="Times New Roman" w:hAnsi="Times New Roman" w:cs="Times New Roman"/>
          <w:color w:val="000000"/>
          <w:sz w:val="28"/>
          <w:szCs w:val="28"/>
          <w:lang w:val="ru-RU"/>
        </w:rPr>
      </w:pPr>
    </w:p>
    <w:p w:rsidR="00FA365D" w:rsidRPr="00B074ED" w:rsidRDefault="00FA365D" w:rsidP="008B39B5">
      <w:pPr>
        <w:pStyle w:val="a3"/>
        <w:spacing w:line="360" w:lineRule="auto"/>
        <w:ind w:left="0"/>
        <w:jc w:val="both"/>
        <w:rPr>
          <w:rFonts w:ascii="Times New Roman" w:hAnsi="Times New Roman" w:cs="Times New Roman"/>
          <w:color w:val="000000"/>
          <w:sz w:val="28"/>
          <w:szCs w:val="28"/>
          <w:lang w:val="ru-RU"/>
        </w:rPr>
      </w:pPr>
    </w:p>
    <w:p w:rsidR="00FA365D" w:rsidRPr="00B074ED" w:rsidRDefault="00FA365D" w:rsidP="008B39B5">
      <w:pPr>
        <w:pStyle w:val="a3"/>
        <w:spacing w:line="360" w:lineRule="auto"/>
        <w:ind w:left="0"/>
        <w:jc w:val="both"/>
        <w:rPr>
          <w:rFonts w:ascii="Times New Roman" w:hAnsi="Times New Roman" w:cs="Times New Roman"/>
          <w:color w:val="000000"/>
          <w:sz w:val="28"/>
          <w:szCs w:val="28"/>
          <w:lang w:val="ru-RU"/>
        </w:rPr>
      </w:pPr>
    </w:p>
    <w:p w:rsidR="00FA365D" w:rsidRPr="00B074ED" w:rsidRDefault="00FA365D" w:rsidP="008B39B5">
      <w:pPr>
        <w:pStyle w:val="a3"/>
        <w:spacing w:line="360" w:lineRule="auto"/>
        <w:ind w:left="0"/>
        <w:jc w:val="both"/>
        <w:rPr>
          <w:rFonts w:ascii="Times New Roman" w:hAnsi="Times New Roman" w:cs="Times New Roman"/>
          <w:color w:val="000000"/>
          <w:sz w:val="28"/>
          <w:szCs w:val="28"/>
          <w:lang w:val="ru-RU"/>
        </w:rPr>
      </w:pPr>
    </w:p>
    <w:p w:rsidR="00FA365D" w:rsidRPr="00B074ED" w:rsidRDefault="00FA365D" w:rsidP="008B39B5">
      <w:pPr>
        <w:pStyle w:val="a3"/>
        <w:spacing w:line="360" w:lineRule="auto"/>
        <w:ind w:left="0"/>
        <w:jc w:val="both"/>
        <w:rPr>
          <w:rFonts w:ascii="Times New Roman" w:hAnsi="Times New Roman" w:cs="Times New Roman"/>
          <w:color w:val="000000"/>
          <w:sz w:val="28"/>
          <w:szCs w:val="28"/>
          <w:lang w:val="ru-RU"/>
        </w:rPr>
      </w:pPr>
    </w:p>
    <w:p w:rsidR="00FA365D" w:rsidRDefault="00567398" w:rsidP="00FA365D">
      <w:pPr>
        <w:spacing w:line="360" w:lineRule="auto"/>
        <w:jc w:val="center"/>
        <w:rPr>
          <w:rFonts w:ascii="Times New Roman" w:hAnsi="Times New Roman" w:cs="Times New Roman"/>
          <w:color w:val="000000"/>
          <w:sz w:val="28"/>
          <w:szCs w:val="28"/>
          <w:lang w:val="en-US"/>
        </w:rPr>
      </w:pPr>
      <w:r w:rsidRPr="008B39B5">
        <w:rPr>
          <w:rFonts w:ascii="Times New Roman" w:hAnsi="Times New Roman" w:cs="Times New Roman"/>
          <w:color w:val="000000"/>
          <w:sz w:val="28"/>
          <w:szCs w:val="28"/>
        </w:rPr>
        <w:t>Житомир – 2011</w:t>
      </w:r>
    </w:p>
    <w:p w:rsidR="001412E7" w:rsidRDefault="00E401E2" w:rsidP="008B39B5">
      <w:pPr>
        <w:spacing w:line="360" w:lineRule="auto"/>
        <w:jc w:val="both"/>
        <w:rPr>
          <w:rFonts w:ascii="Times New Roman" w:hAnsi="Times New Roman" w:cs="Times New Roman"/>
          <w:sz w:val="28"/>
          <w:szCs w:val="28"/>
          <w:lang w:val="en-US"/>
        </w:rPr>
      </w:pPr>
      <w:r w:rsidRPr="008B39B5">
        <w:rPr>
          <w:rFonts w:ascii="Times New Roman" w:hAnsi="Times New Roman" w:cs="Times New Roman"/>
          <w:sz w:val="28"/>
          <w:szCs w:val="28"/>
        </w:rPr>
        <w:br w:type="page"/>
        <w:t>Зміст</w:t>
      </w:r>
    </w:p>
    <w:p w:rsidR="00FA365D" w:rsidRPr="00FA365D" w:rsidRDefault="00FA365D" w:rsidP="008B39B5">
      <w:pPr>
        <w:spacing w:line="360" w:lineRule="auto"/>
        <w:jc w:val="both"/>
        <w:rPr>
          <w:rFonts w:ascii="Times New Roman" w:hAnsi="Times New Roman" w:cs="Times New Roman"/>
          <w:sz w:val="28"/>
          <w:szCs w:val="28"/>
          <w:lang w:val="en-US"/>
        </w:rPr>
      </w:pPr>
    </w:p>
    <w:p w:rsidR="00E401E2" w:rsidRPr="008B39B5" w:rsidRDefault="00E401E2" w:rsidP="00FA365D">
      <w:pPr>
        <w:tabs>
          <w:tab w:val="left" w:pos="550"/>
        </w:tabs>
        <w:spacing w:line="360" w:lineRule="auto"/>
        <w:ind w:firstLine="0"/>
        <w:jc w:val="both"/>
        <w:rPr>
          <w:rFonts w:ascii="Times New Roman" w:hAnsi="Times New Roman" w:cs="Times New Roman"/>
          <w:sz w:val="28"/>
          <w:szCs w:val="28"/>
        </w:rPr>
      </w:pPr>
      <w:r w:rsidRPr="008B39B5">
        <w:rPr>
          <w:rFonts w:ascii="Times New Roman" w:hAnsi="Times New Roman" w:cs="Times New Roman"/>
          <w:sz w:val="28"/>
          <w:szCs w:val="28"/>
        </w:rPr>
        <w:t>Вступ</w:t>
      </w:r>
    </w:p>
    <w:p w:rsidR="00347C2B" w:rsidRPr="008B39B5" w:rsidRDefault="00347C2B" w:rsidP="00FA365D">
      <w:pPr>
        <w:pStyle w:val="a3"/>
        <w:numPr>
          <w:ilvl w:val="0"/>
          <w:numId w:val="2"/>
        </w:numPr>
        <w:tabs>
          <w:tab w:val="left" w:pos="550"/>
        </w:tabs>
        <w:spacing w:line="360" w:lineRule="auto"/>
        <w:ind w:left="0" w:firstLine="0"/>
        <w:jc w:val="both"/>
        <w:rPr>
          <w:rFonts w:ascii="Times New Roman" w:hAnsi="Times New Roman" w:cs="Times New Roman"/>
          <w:sz w:val="28"/>
          <w:szCs w:val="28"/>
        </w:rPr>
      </w:pPr>
      <w:r w:rsidRPr="008B39B5">
        <w:rPr>
          <w:rFonts w:ascii="Times New Roman" w:hAnsi="Times New Roman" w:cs="Times New Roman"/>
          <w:sz w:val="28"/>
          <w:szCs w:val="28"/>
        </w:rPr>
        <w:t>Ринок цін</w:t>
      </w:r>
      <w:r w:rsidR="004F1AE9" w:rsidRPr="008B39B5">
        <w:rPr>
          <w:rFonts w:ascii="Times New Roman" w:hAnsi="Times New Roman" w:cs="Times New Roman"/>
          <w:sz w:val="28"/>
          <w:szCs w:val="28"/>
        </w:rPr>
        <w:t>них паперів</w:t>
      </w:r>
    </w:p>
    <w:p w:rsidR="00347C2B" w:rsidRPr="008B39B5" w:rsidRDefault="00E401E2" w:rsidP="00FA365D">
      <w:pPr>
        <w:pStyle w:val="a3"/>
        <w:numPr>
          <w:ilvl w:val="0"/>
          <w:numId w:val="2"/>
        </w:numPr>
        <w:tabs>
          <w:tab w:val="left" w:pos="550"/>
        </w:tabs>
        <w:spacing w:line="360" w:lineRule="auto"/>
        <w:ind w:left="0" w:firstLine="0"/>
        <w:jc w:val="both"/>
        <w:rPr>
          <w:rFonts w:ascii="Times New Roman" w:hAnsi="Times New Roman" w:cs="Times New Roman"/>
          <w:sz w:val="28"/>
          <w:szCs w:val="28"/>
        </w:rPr>
      </w:pPr>
      <w:r w:rsidRPr="008B39B5">
        <w:rPr>
          <w:rFonts w:ascii="Times New Roman" w:hAnsi="Times New Roman" w:cs="Times New Roman"/>
          <w:sz w:val="28"/>
          <w:szCs w:val="28"/>
        </w:rPr>
        <w:t>Цінні папери як об’єкт операцій на ринку</w:t>
      </w:r>
      <w:r w:rsidR="00347C2B" w:rsidRPr="008B39B5">
        <w:rPr>
          <w:rFonts w:ascii="Times New Roman" w:hAnsi="Times New Roman" w:cs="Times New Roman"/>
          <w:sz w:val="28"/>
          <w:szCs w:val="28"/>
        </w:rPr>
        <w:t>. Цінні папе</w:t>
      </w:r>
      <w:r w:rsidR="00A448F1" w:rsidRPr="008B39B5">
        <w:rPr>
          <w:rFonts w:ascii="Times New Roman" w:hAnsi="Times New Roman" w:cs="Times New Roman"/>
          <w:sz w:val="28"/>
          <w:szCs w:val="28"/>
        </w:rPr>
        <w:t>ри як об’єкт операцій на ринку</w:t>
      </w:r>
    </w:p>
    <w:p w:rsidR="004F1AE9" w:rsidRPr="008B39B5" w:rsidRDefault="00A448F1" w:rsidP="00FA365D">
      <w:pPr>
        <w:pStyle w:val="a3"/>
        <w:numPr>
          <w:ilvl w:val="0"/>
          <w:numId w:val="2"/>
        </w:numPr>
        <w:tabs>
          <w:tab w:val="left" w:pos="550"/>
        </w:tabs>
        <w:spacing w:line="360" w:lineRule="auto"/>
        <w:ind w:left="0" w:firstLine="0"/>
        <w:jc w:val="both"/>
        <w:rPr>
          <w:rFonts w:ascii="Times New Roman" w:hAnsi="Times New Roman" w:cs="Times New Roman"/>
          <w:sz w:val="28"/>
          <w:szCs w:val="28"/>
        </w:rPr>
      </w:pPr>
      <w:r w:rsidRPr="008B39B5">
        <w:rPr>
          <w:rFonts w:ascii="Times New Roman" w:hAnsi="Times New Roman" w:cs="Times New Roman"/>
          <w:sz w:val="28"/>
          <w:szCs w:val="28"/>
        </w:rPr>
        <w:t>Формування курсової вар</w:t>
      </w:r>
      <w:r w:rsidR="004F1AE9" w:rsidRPr="008B39B5">
        <w:rPr>
          <w:rFonts w:ascii="Times New Roman" w:hAnsi="Times New Roman" w:cs="Times New Roman"/>
          <w:sz w:val="28"/>
          <w:szCs w:val="28"/>
        </w:rPr>
        <w:t>тості цінних паперів</w:t>
      </w:r>
    </w:p>
    <w:p w:rsidR="00AB4C1C" w:rsidRPr="008B39B5" w:rsidRDefault="00E401E2" w:rsidP="00FA365D">
      <w:pPr>
        <w:tabs>
          <w:tab w:val="left" w:pos="550"/>
        </w:tabs>
        <w:spacing w:line="360" w:lineRule="auto"/>
        <w:ind w:firstLine="0"/>
        <w:jc w:val="both"/>
        <w:rPr>
          <w:rFonts w:ascii="Times New Roman" w:hAnsi="Times New Roman" w:cs="Times New Roman"/>
          <w:sz w:val="28"/>
          <w:szCs w:val="28"/>
        </w:rPr>
      </w:pPr>
      <w:r w:rsidRPr="008B39B5">
        <w:rPr>
          <w:rFonts w:ascii="Times New Roman" w:hAnsi="Times New Roman" w:cs="Times New Roman"/>
          <w:sz w:val="28"/>
          <w:szCs w:val="28"/>
        </w:rPr>
        <w:t>Список використаної літератури</w:t>
      </w:r>
    </w:p>
    <w:p w:rsidR="004F1AE9" w:rsidRPr="008B39B5" w:rsidRDefault="004F1AE9" w:rsidP="00FA365D">
      <w:pPr>
        <w:pStyle w:val="a3"/>
        <w:tabs>
          <w:tab w:val="left" w:pos="550"/>
        </w:tabs>
        <w:spacing w:line="360" w:lineRule="auto"/>
        <w:ind w:left="0" w:firstLine="0"/>
        <w:jc w:val="both"/>
        <w:rPr>
          <w:rFonts w:ascii="Times New Roman" w:hAnsi="Times New Roman" w:cs="Times New Roman"/>
          <w:sz w:val="28"/>
          <w:szCs w:val="28"/>
        </w:rPr>
      </w:pPr>
      <w:r w:rsidRPr="008B39B5">
        <w:rPr>
          <w:rFonts w:ascii="Times New Roman" w:hAnsi="Times New Roman" w:cs="Times New Roman"/>
          <w:sz w:val="28"/>
          <w:szCs w:val="28"/>
        </w:rPr>
        <w:t>Додатки</w:t>
      </w:r>
    </w:p>
    <w:p w:rsidR="00FA365D" w:rsidRDefault="00FA365D" w:rsidP="008B39B5">
      <w:pPr>
        <w:pStyle w:val="a3"/>
        <w:spacing w:line="360" w:lineRule="auto"/>
        <w:ind w:left="0"/>
        <w:jc w:val="both"/>
        <w:rPr>
          <w:rFonts w:ascii="Times New Roman" w:hAnsi="Times New Roman" w:cs="Times New Roman"/>
          <w:sz w:val="28"/>
          <w:szCs w:val="28"/>
          <w:lang w:val="en-US"/>
        </w:rPr>
      </w:pPr>
    </w:p>
    <w:p w:rsidR="00FA365D" w:rsidRPr="00FA365D" w:rsidRDefault="00FA365D" w:rsidP="008B39B5">
      <w:pPr>
        <w:pStyle w:val="a3"/>
        <w:spacing w:line="360" w:lineRule="auto"/>
        <w:ind w:left="0"/>
        <w:jc w:val="both"/>
        <w:rPr>
          <w:rFonts w:ascii="Times New Roman" w:hAnsi="Times New Roman" w:cs="Times New Roman"/>
          <w:sz w:val="28"/>
          <w:szCs w:val="28"/>
          <w:lang w:val="en-US"/>
        </w:rPr>
      </w:pPr>
    </w:p>
    <w:p w:rsidR="00330523" w:rsidRDefault="00AB4C1C" w:rsidP="008B39B5">
      <w:pPr>
        <w:spacing w:line="360" w:lineRule="auto"/>
        <w:jc w:val="both"/>
        <w:rPr>
          <w:rFonts w:ascii="Times New Roman" w:hAnsi="Times New Roman" w:cs="Times New Roman"/>
          <w:sz w:val="28"/>
          <w:szCs w:val="28"/>
          <w:lang w:val="en-US"/>
        </w:rPr>
      </w:pPr>
      <w:r w:rsidRPr="008B39B5">
        <w:rPr>
          <w:rFonts w:ascii="Times New Roman" w:hAnsi="Times New Roman" w:cs="Times New Roman"/>
          <w:sz w:val="28"/>
          <w:szCs w:val="28"/>
        </w:rPr>
        <w:br w:type="page"/>
        <w:t>Вступ</w:t>
      </w:r>
    </w:p>
    <w:p w:rsidR="00FA365D" w:rsidRPr="00FA365D" w:rsidRDefault="00FA365D" w:rsidP="008B39B5">
      <w:pPr>
        <w:spacing w:line="360" w:lineRule="auto"/>
        <w:jc w:val="both"/>
        <w:rPr>
          <w:rFonts w:ascii="Times New Roman" w:hAnsi="Times New Roman" w:cs="Times New Roman"/>
          <w:sz w:val="28"/>
          <w:szCs w:val="28"/>
          <w:lang w:val="en-US"/>
        </w:rPr>
      </w:pPr>
    </w:p>
    <w:p w:rsidR="00DE0DF4" w:rsidRPr="008B39B5" w:rsidRDefault="00330523"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Розвиток вітчизняного ринку має свої характерні особливості, пов'язані з реформуванням форм власності в суспільстві. У процесі приватизації з 1992 по 1998 рік понад 60,5 тис. підприємств змінило форму власності, в тому числі 9,5 тис. - шляхом перетворення у відкриті акціонерні товариства, що становить 16 відсотків від загальної кількості приватизованих товариств в Україні.</w:t>
      </w:r>
    </w:p>
    <w:p w:rsidR="00DE0DF4" w:rsidRPr="008B39B5" w:rsidRDefault="00330523"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Аналізуючи процес реформування системи власності шляхом приватизації, можна вивести таку закономірність:</w:t>
      </w:r>
    </w:p>
    <w:p w:rsidR="00DE0DF4" w:rsidRPr="008B39B5" w:rsidRDefault="00DE0DF4"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У 1991-1993 роках уряд започаткував на основі Української фондової біржі створення національної централізованої системи організованої торгівлі цінними паперами, реєстрації прав власності і забезпечення обігу цінних паперів. Комісія вже видала дозволи на діяльність п'яти спеціалізованих бірж та Позабіржовій фондовій торговельній системі (ПФТС).</w:t>
      </w:r>
    </w:p>
    <w:p w:rsidR="004956E6" w:rsidRPr="008B39B5" w:rsidRDefault="004956E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Починаючи з 1994 року держава все більше й більше позбавляється функцій безпосереднього управління підприємствами, але водночас з кожним роком посилюється і потреба у державному регулюванні ринку цінних паперів. Його розвиток також має свої особливості, оскільки відбувається одночасно з проведенням ринкових реформ та пошуком оптимальних методів державного регулювання економікою в цілому.</w:t>
      </w:r>
    </w:p>
    <w:p w:rsidR="00DE0DF4" w:rsidRPr="008B39B5" w:rsidRDefault="00DE0DF4"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Кооперативний ринок зразка 1995-1996 років був ринком акцій державних підприємств, що приватизуються. Тому зусиллями Комісії досить швидко створена мережа реєстраторів власників іменних цінних паперів та нормативна база їх функціонування. Але цей процес був ускладнений виникненням так званих "кишенькових" реєстраторів, які опосередковано створені емітентами і повністю ними контролюються, що не повною мірою дозволило реалізувати концепцію створення інституту незалежних реєстраторів.</w:t>
      </w:r>
    </w:p>
    <w:p w:rsidR="004956E6" w:rsidRPr="008B39B5" w:rsidRDefault="004956E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Значним недоліком вітчизняного ринку є і відсутність такого поширеного на світових фінансових ринках інструменту, як корпоративні облігації. Якщо протягом 1996-97 років було зареєстровано випусків облігацій підприємств на загальну суму 117,1 млн. грн., то в 1998 р. таких випусків зареєстровано лише на суму 8,19 млн. грн.</w:t>
      </w:r>
    </w:p>
    <w:p w:rsidR="00DE0DF4" w:rsidRPr="008B39B5" w:rsidRDefault="00347C2B"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Н</w:t>
      </w:r>
      <w:r w:rsidR="00330523" w:rsidRPr="008B39B5">
        <w:rPr>
          <w:rFonts w:ascii="Times New Roman" w:hAnsi="Times New Roman" w:cs="Times New Roman"/>
          <w:sz w:val="28"/>
          <w:szCs w:val="28"/>
        </w:rPr>
        <w:t>айбільша питома вага випуску цінних паперів припадає на акції приватизованих підприємств. Це пояснюється продовженням процесів приватизації та корпоратизації державних підприємств: нині в Україні налічується 35,5 тис. акціонерних товариств, в тому числі 23,5 тис. закритих, загальний обсяг емісій акцій, зареєстрованих Державною комісією з цінних паперів та фондового ринку, становить майже двадцять мільярдів гривень.</w:t>
      </w:r>
    </w:p>
    <w:p w:rsidR="00DE0DF4" w:rsidRPr="008B39B5" w:rsidRDefault="00330523"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Із загального обсягу випуску акцій у минулому році лише 21 відсоток припадає на реально залучені кошти, а інші 79 - емісії при здійсненні корпоратизації та акціонуванні державних підприємств, а також збільшення статутного фонду підприємства в результаті індексації основних фондів. Тобто "масова приватизація" не вирішила їхніх економічних завдань - надходження інвестицій та формування "ефективного" власника. Склалася ситуація, коли підприємства, що були приватизовані за ПМС та КС, маючи тисячі акціонерів, не мають перспектив щодо розвитку через скрутне фінансове становище і часто через неспроможність керівництва працювати в нових ринкових умовах.</w:t>
      </w:r>
    </w:p>
    <w:p w:rsidR="004956E6" w:rsidRPr="008B39B5" w:rsidRDefault="00330523"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Прийняття і введення в дію в січні 1998 року Закону України "Про Національну депозитарну систему та особливості електронного обігу цінних паперів в Україні" викликало необхідність приведення професійними учасниками фондового ринку своєї діяльності у відповідність до його норм.</w:t>
      </w:r>
    </w:p>
    <w:p w:rsidR="004956E6" w:rsidRPr="008B39B5" w:rsidRDefault="00330523"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Саме існування Національного депозитарію є ознакою економічної цивілізованості та гарантованого захисту прав власності, що збільшує привабливість країни для вітчизняних та іноземних інвесторів.</w:t>
      </w:r>
    </w:p>
    <w:p w:rsidR="00DE0DF4" w:rsidRPr="008B39B5" w:rsidRDefault="00330523"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Але якщо враховувати, що Національний депозитарій України відповідно до законодавства є системоутворюючим елементом Національної депозитарної системи, який забезпечує стандартизацію документообігу, кодифікацію цінних паперів і міжнародні зв'язки з депозитаріями інших держав, то стає зрозумілим, що створення Національної депозитарної системи України мало б передувати приватизації, чи, як мінімум, збігатися з її початком. Позаяк це своєчасно не було зроблено, єдиним виходом з ситуації, що склалася, є прискорення процесу створення Національної депозитарної системи України і розв'язання проблеми випуску і забезпечення обігу повноцінних паперів (в документарній та бездокументарній формах) в процесі завершення приватизації.</w:t>
      </w:r>
    </w:p>
    <w:p w:rsidR="00DE0DF4" w:rsidRPr="008B39B5" w:rsidRDefault="00DE0DF4"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Нині в Україні налічується понад 35 мільйонів власників акцій</w:t>
      </w:r>
      <w:r w:rsidR="008B39B5">
        <w:rPr>
          <w:rFonts w:ascii="Times New Roman" w:hAnsi="Times New Roman" w:cs="Times New Roman"/>
          <w:sz w:val="28"/>
          <w:szCs w:val="28"/>
        </w:rPr>
        <w:t xml:space="preserve"> </w:t>
      </w:r>
      <w:r w:rsidRPr="008B39B5">
        <w:rPr>
          <w:rFonts w:ascii="Times New Roman" w:hAnsi="Times New Roman" w:cs="Times New Roman"/>
          <w:sz w:val="28"/>
          <w:szCs w:val="28"/>
        </w:rPr>
        <w:t>приватизованих підприємств. Населення, якому традиційно притаманне підвищене почуття соціальної справедливості, покладає надії не тільки на розвиток державою різноманітних форм інвестування як засобу збільшення грошових заощаджень, а й на забезпечення захисту своїх фінансових вкладень. Відновлення довіри населення до держави і фондового ринку є необхідною умовою соціальної підтримки курсу ринкових реформ та забезпечення соціальної стабільності в суспільстві. На цих засадах і була започаткована державна політика регулювання ринку цінних паперів в Україні.</w:t>
      </w:r>
    </w:p>
    <w:p w:rsidR="00FA365D" w:rsidRDefault="004956E6" w:rsidP="00FA365D">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На фондовий ринок, як на складову частину фінансового ринку держави, звичайно, впливають кризові процеси, які мають місце в економіці. Проте, незважаючи на погіршення інвестиційного клімату, фондовий ринок продовжує свій розвиток.</w:t>
      </w:r>
    </w:p>
    <w:p w:rsidR="00FA365D" w:rsidRDefault="00FA365D" w:rsidP="00FA365D">
      <w:pPr>
        <w:spacing w:line="360" w:lineRule="auto"/>
        <w:jc w:val="both"/>
        <w:rPr>
          <w:rFonts w:ascii="Times New Roman" w:hAnsi="Times New Roman" w:cs="Times New Roman"/>
          <w:sz w:val="28"/>
          <w:szCs w:val="28"/>
        </w:rPr>
      </w:pPr>
    </w:p>
    <w:p w:rsidR="00FA365D" w:rsidRPr="00B074ED" w:rsidRDefault="00B074ED" w:rsidP="00FA365D">
      <w:pPr>
        <w:spacing w:line="360" w:lineRule="auto"/>
        <w:jc w:val="both"/>
        <w:rPr>
          <w:rFonts w:ascii="Times New Roman" w:hAnsi="Times New Roman" w:cs="Times New Roman"/>
          <w:color w:val="FFFFFF"/>
          <w:sz w:val="28"/>
          <w:szCs w:val="28"/>
        </w:rPr>
      </w:pPr>
      <w:r w:rsidRPr="00B074ED">
        <w:rPr>
          <w:rFonts w:ascii="Times New Roman" w:hAnsi="Times New Roman" w:cs="Times New Roman"/>
          <w:color w:val="FFFFFF"/>
          <w:sz w:val="28"/>
          <w:szCs w:val="28"/>
        </w:rPr>
        <w:t>ринок папери вартість акціонер</w:t>
      </w:r>
    </w:p>
    <w:p w:rsidR="00D755D1" w:rsidRDefault="00FA365D" w:rsidP="00FA365D">
      <w:pPr>
        <w:spacing w:line="360" w:lineRule="auto"/>
        <w:jc w:val="both"/>
        <w:rPr>
          <w:rFonts w:ascii="Times New Roman" w:hAnsi="Times New Roman" w:cs="Times New Roman"/>
          <w:sz w:val="28"/>
          <w:szCs w:val="28"/>
        </w:rPr>
      </w:pPr>
      <w:r>
        <w:rPr>
          <w:rFonts w:ascii="Times New Roman" w:hAnsi="Times New Roman" w:cs="Times New Roman"/>
          <w:sz w:val="28"/>
          <w:szCs w:val="28"/>
        </w:rPr>
        <w:br w:type="page"/>
        <w:t xml:space="preserve">1. </w:t>
      </w:r>
      <w:r w:rsidR="00AB4C1C" w:rsidRPr="00FA365D">
        <w:rPr>
          <w:rFonts w:ascii="Times New Roman" w:hAnsi="Times New Roman" w:cs="Times New Roman"/>
          <w:sz w:val="28"/>
          <w:szCs w:val="28"/>
        </w:rPr>
        <w:t>Ринок цінних паперів</w:t>
      </w:r>
    </w:p>
    <w:p w:rsidR="00FA365D" w:rsidRPr="00FA365D" w:rsidRDefault="00FA365D" w:rsidP="00FA365D">
      <w:pPr>
        <w:spacing w:line="360" w:lineRule="auto"/>
        <w:ind w:left="709" w:firstLine="0"/>
        <w:jc w:val="both"/>
        <w:rPr>
          <w:rFonts w:ascii="Times New Roman" w:hAnsi="Times New Roman" w:cs="Times New Roman"/>
          <w:sz w:val="28"/>
          <w:szCs w:val="28"/>
        </w:rPr>
      </w:pPr>
    </w:p>
    <w:p w:rsidR="00BE0179" w:rsidRPr="008B39B5" w:rsidRDefault="004956E6" w:rsidP="008B39B5">
      <w:pPr>
        <w:spacing w:line="360" w:lineRule="auto"/>
        <w:jc w:val="both"/>
        <w:rPr>
          <w:rFonts w:ascii="Times New Roman" w:hAnsi="Times New Roman" w:cs="Times New Roman"/>
          <w:sz w:val="28"/>
          <w:szCs w:val="28"/>
          <w:lang w:eastAsia="ru-RU"/>
        </w:rPr>
      </w:pPr>
      <w:r w:rsidRPr="008B39B5">
        <w:rPr>
          <w:rFonts w:ascii="Times New Roman" w:hAnsi="Times New Roman" w:cs="Times New Roman"/>
          <w:sz w:val="28"/>
          <w:szCs w:val="28"/>
          <w:lang w:eastAsia="ru-RU"/>
        </w:rPr>
        <w:t>Ринок цінних паперів – це специфічна сфера ринкових відносин, де об’єктом операцій є цінні папери. На ньому здійснюється емісія, купівля-продаж цінних паперів, формується ціна на них, врівноважуються попит та пропозиція.</w:t>
      </w:r>
    </w:p>
    <w:p w:rsidR="00BE0179" w:rsidRPr="008B39B5" w:rsidRDefault="004956E6" w:rsidP="008B39B5">
      <w:pPr>
        <w:spacing w:line="360" w:lineRule="auto"/>
        <w:jc w:val="both"/>
        <w:rPr>
          <w:rFonts w:ascii="Times New Roman" w:hAnsi="Times New Roman" w:cs="Times New Roman"/>
          <w:sz w:val="28"/>
          <w:szCs w:val="28"/>
          <w:lang w:eastAsia="ru-RU"/>
        </w:rPr>
      </w:pPr>
      <w:r w:rsidRPr="008B39B5">
        <w:rPr>
          <w:rFonts w:ascii="Times New Roman" w:hAnsi="Times New Roman" w:cs="Times New Roman"/>
          <w:sz w:val="28"/>
          <w:szCs w:val="28"/>
          <w:lang w:eastAsia="ru-RU"/>
        </w:rPr>
        <w:t>Через ринок цінних паперів (РЦП) акумулюються грошові нагромадження кредитно-фінансових інститутів, корпорацій, підприємств, держав, приватних осіб і спрямовуються на виробниче та невиробниче вкладення капіталів. Як і будь-який інший ринок, РЦП складається з попиту, пропозиції та ціни, що їх врівноважує. Попит створюється компаніями і державами, яким не вистачає власних доход</w:t>
      </w:r>
      <w:r w:rsidR="00BE0179" w:rsidRPr="008B39B5">
        <w:rPr>
          <w:rFonts w:ascii="Times New Roman" w:hAnsi="Times New Roman" w:cs="Times New Roman"/>
          <w:sz w:val="28"/>
          <w:szCs w:val="28"/>
          <w:lang w:eastAsia="ru-RU"/>
        </w:rPr>
        <w:t>ів для фінансування інвестицій.</w:t>
      </w:r>
    </w:p>
    <w:p w:rsidR="00BE0179" w:rsidRPr="008B39B5" w:rsidRDefault="004956E6" w:rsidP="008B39B5">
      <w:pPr>
        <w:spacing w:line="360" w:lineRule="auto"/>
        <w:jc w:val="both"/>
        <w:rPr>
          <w:rFonts w:ascii="Times New Roman" w:hAnsi="Times New Roman" w:cs="Times New Roman"/>
          <w:sz w:val="28"/>
          <w:szCs w:val="28"/>
          <w:lang w:eastAsia="ru-RU"/>
        </w:rPr>
      </w:pPr>
      <w:r w:rsidRPr="008B39B5">
        <w:rPr>
          <w:rFonts w:ascii="Times New Roman" w:hAnsi="Times New Roman" w:cs="Times New Roman"/>
          <w:sz w:val="28"/>
          <w:szCs w:val="28"/>
          <w:lang w:eastAsia="ru-RU"/>
        </w:rPr>
        <w:t>Підприємства та уряди виступають на РЦП чистими позичальниками (більше займають, ніж позичають), а чистим кредитором є населення, приватний сектор, у якого за різними причинами доход перевищує суму витрат на поточне споживання та інвестиції в матеріальні активи (головним чином, житло, нерухомість).</w:t>
      </w:r>
    </w:p>
    <w:p w:rsidR="004956E6" w:rsidRPr="008B39B5" w:rsidRDefault="004956E6" w:rsidP="008B39B5">
      <w:pPr>
        <w:spacing w:line="360" w:lineRule="auto"/>
        <w:jc w:val="both"/>
        <w:rPr>
          <w:rFonts w:ascii="Times New Roman" w:hAnsi="Times New Roman" w:cs="Times New Roman"/>
          <w:sz w:val="28"/>
          <w:szCs w:val="28"/>
          <w:lang w:eastAsia="ru-RU"/>
        </w:rPr>
      </w:pPr>
      <w:r w:rsidRPr="008B39B5">
        <w:rPr>
          <w:rFonts w:ascii="Times New Roman" w:hAnsi="Times New Roman" w:cs="Times New Roman"/>
          <w:sz w:val="28"/>
          <w:szCs w:val="28"/>
          <w:lang w:eastAsia="ru-RU"/>
        </w:rPr>
        <w:t xml:space="preserve">Завдання РЦП – забезпечити якомога повніше та швидке перетворення заощаджень в інвестиції за ціною, яка б задовольняла обидві сторони. Вирішення цього завдання неможливе без участі посередників, які діють на даному ринку, – брокерів та інвестиційних дилерів. Тільки вони знають, в якому стані знаходиться ринок цінних паперів, коли, на яких умовах та які цінні папери доцільніше випускати. </w:t>
      </w:r>
    </w:p>
    <w:p w:rsidR="004956E6" w:rsidRPr="008B39B5" w:rsidRDefault="004956E6" w:rsidP="008B39B5">
      <w:pPr>
        <w:spacing w:line="360" w:lineRule="auto"/>
        <w:jc w:val="both"/>
        <w:rPr>
          <w:rFonts w:ascii="Times New Roman" w:hAnsi="Times New Roman" w:cs="Times New Roman"/>
          <w:sz w:val="28"/>
          <w:szCs w:val="28"/>
          <w:lang w:eastAsia="ru-RU"/>
        </w:rPr>
      </w:pPr>
      <w:r w:rsidRPr="008B39B5">
        <w:rPr>
          <w:rFonts w:ascii="Times New Roman" w:hAnsi="Times New Roman" w:cs="Times New Roman"/>
          <w:sz w:val="28"/>
          <w:szCs w:val="28"/>
          <w:lang w:eastAsia="ru-RU"/>
        </w:rPr>
        <w:t xml:space="preserve">Брокер зводить продавця з покупцем цінних паперів, отримуючи за це комісійні, а інвестиційний дилер, крім того ще купує цінні папери на своє ім’я та за свій рахунок, щоб потім їх перепродати (принципові операції). Виручка від перепродажу складає його прибуток. </w:t>
      </w:r>
    </w:p>
    <w:p w:rsidR="004956E6" w:rsidRPr="008B39B5" w:rsidRDefault="004956E6" w:rsidP="008B39B5">
      <w:pPr>
        <w:spacing w:line="360" w:lineRule="auto"/>
        <w:jc w:val="both"/>
        <w:rPr>
          <w:rFonts w:ascii="Times New Roman" w:hAnsi="Times New Roman" w:cs="Times New Roman"/>
          <w:sz w:val="28"/>
          <w:szCs w:val="28"/>
          <w:lang w:eastAsia="ru-RU"/>
        </w:rPr>
      </w:pPr>
      <w:r w:rsidRPr="008B39B5">
        <w:rPr>
          <w:rFonts w:ascii="Times New Roman" w:hAnsi="Times New Roman" w:cs="Times New Roman"/>
          <w:sz w:val="28"/>
          <w:szCs w:val="28"/>
          <w:lang w:eastAsia="ru-RU"/>
        </w:rPr>
        <w:t xml:space="preserve">Таким чином, суб’єкти операцій на ринку цінних паперів – це емітенти цінних паперів, інвестори (покупці) та посередники при укладанні угод. В ролі емітентів виступають компанії, товариства, підприємства та держава в особі уряду і місцевих органів управління. Відповідно й ринок цінних паперів можна поділити на ринок цінних паперів, що випускаються юридичними особами, та ринок державних цінних паперів. </w:t>
      </w:r>
    </w:p>
    <w:p w:rsidR="004956E6" w:rsidRPr="008B39B5" w:rsidRDefault="004956E6" w:rsidP="008B39B5">
      <w:pPr>
        <w:spacing w:line="360" w:lineRule="auto"/>
        <w:jc w:val="both"/>
        <w:rPr>
          <w:rFonts w:ascii="Times New Roman" w:hAnsi="Times New Roman" w:cs="Times New Roman"/>
          <w:sz w:val="28"/>
          <w:szCs w:val="28"/>
          <w:lang w:eastAsia="ru-RU"/>
        </w:rPr>
      </w:pPr>
      <w:r w:rsidRPr="008B39B5">
        <w:rPr>
          <w:rFonts w:ascii="Times New Roman" w:hAnsi="Times New Roman" w:cs="Times New Roman"/>
          <w:sz w:val="28"/>
          <w:szCs w:val="28"/>
          <w:lang w:eastAsia="ru-RU"/>
        </w:rPr>
        <w:t xml:space="preserve">Важливу роль на ринку цінних паперів та, зокрема, на ринку державних цінних паперів відіграє центральний банк. Разом з міністерством фінансів (казначейством) він вирішує питання про доцільність випуску нових боргових зобов’язань, визначає умови їх обігу, розробляє заходи щодо забезпечення сталого курсу державних цінних паперів. Крім того, центральний банк, здійснюючи операції з цінними паперами на відкритому ринку, впливає на розмір резервів комерційних банків і таким чином на стан кредиту та грошового обігу. Він купує цінні папери, коли дотримується курсу на стимулювання кредитної діяльності комерційних банків та ринку в цілому, і продає цінні папери, коли має намір обмежити активність банків. </w:t>
      </w:r>
    </w:p>
    <w:p w:rsidR="004956E6" w:rsidRPr="008B39B5" w:rsidRDefault="004956E6" w:rsidP="008B39B5">
      <w:pPr>
        <w:spacing w:line="360" w:lineRule="auto"/>
        <w:jc w:val="both"/>
        <w:rPr>
          <w:rFonts w:ascii="Times New Roman" w:hAnsi="Times New Roman" w:cs="Times New Roman"/>
          <w:sz w:val="28"/>
          <w:szCs w:val="28"/>
          <w:lang w:eastAsia="ru-RU"/>
        </w:rPr>
      </w:pPr>
      <w:r w:rsidRPr="008B39B5">
        <w:rPr>
          <w:rFonts w:ascii="Times New Roman" w:hAnsi="Times New Roman" w:cs="Times New Roman"/>
          <w:sz w:val="28"/>
          <w:szCs w:val="28"/>
          <w:lang w:eastAsia="ru-RU"/>
        </w:rPr>
        <w:t xml:space="preserve">Різноманітні операції з цінними паперами здійснюють комерційні банки. Вони виконують роль інвесторів і купують цінні папери для власного портфеля, беруть участь у первинному розповсюдженні щойно випущених паперів серед покупців, виступають посередниками при перепродажу цінних паперів, виконують операції з цінними паперами за дорученням клієнтів, видають позики під заставу цінних паперів. </w:t>
      </w:r>
    </w:p>
    <w:p w:rsidR="00BE0179" w:rsidRPr="008B39B5" w:rsidRDefault="004956E6" w:rsidP="008B39B5">
      <w:pPr>
        <w:spacing w:line="360" w:lineRule="auto"/>
        <w:jc w:val="both"/>
        <w:rPr>
          <w:rFonts w:ascii="Times New Roman" w:hAnsi="Times New Roman" w:cs="Times New Roman"/>
          <w:sz w:val="28"/>
          <w:szCs w:val="28"/>
          <w:lang w:eastAsia="ru-RU"/>
        </w:rPr>
      </w:pPr>
      <w:r w:rsidRPr="008B39B5">
        <w:rPr>
          <w:rFonts w:ascii="Times New Roman" w:hAnsi="Times New Roman" w:cs="Times New Roman"/>
          <w:sz w:val="28"/>
          <w:szCs w:val="28"/>
          <w:lang w:eastAsia="ru-RU"/>
        </w:rPr>
        <w:t>Залежно від стадії обігу цінних паперів розрізняють первинний та вторинний ринок.</w:t>
      </w:r>
    </w:p>
    <w:p w:rsidR="00BE0179" w:rsidRPr="008B39B5" w:rsidRDefault="004956E6" w:rsidP="008B39B5">
      <w:pPr>
        <w:spacing w:line="360" w:lineRule="auto"/>
        <w:jc w:val="both"/>
        <w:rPr>
          <w:rFonts w:ascii="Times New Roman" w:hAnsi="Times New Roman" w:cs="Times New Roman"/>
          <w:sz w:val="28"/>
          <w:szCs w:val="28"/>
          <w:lang w:eastAsia="ru-RU"/>
        </w:rPr>
      </w:pPr>
      <w:r w:rsidRPr="008B39B5">
        <w:rPr>
          <w:rFonts w:ascii="Times New Roman" w:hAnsi="Times New Roman" w:cs="Times New Roman"/>
          <w:sz w:val="28"/>
          <w:szCs w:val="28"/>
          <w:lang w:eastAsia="ru-RU"/>
        </w:rPr>
        <w:t>Первинний ринок цінних паперів – це ринок, на якому розміщуються вперше випущені (емітовані) цінні папери, відбувається мобілізація капіталів корпораціями, товариствами, підприємствами і запоз</w:t>
      </w:r>
      <w:r w:rsidR="00BE0179" w:rsidRPr="008B39B5">
        <w:rPr>
          <w:rFonts w:ascii="Times New Roman" w:hAnsi="Times New Roman" w:cs="Times New Roman"/>
          <w:sz w:val="28"/>
          <w:szCs w:val="28"/>
          <w:lang w:eastAsia="ru-RU"/>
        </w:rPr>
        <w:t>ичення коштів ними та державою.</w:t>
      </w:r>
    </w:p>
    <w:p w:rsidR="00BE0179" w:rsidRPr="008B39B5" w:rsidRDefault="004956E6" w:rsidP="008B39B5">
      <w:pPr>
        <w:spacing w:line="360" w:lineRule="auto"/>
        <w:jc w:val="both"/>
        <w:rPr>
          <w:rFonts w:ascii="Times New Roman" w:hAnsi="Times New Roman" w:cs="Times New Roman"/>
          <w:sz w:val="28"/>
          <w:szCs w:val="28"/>
          <w:lang w:eastAsia="ru-RU"/>
        </w:rPr>
      </w:pPr>
      <w:r w:rsidRPr="008B39B5">
        <w:rPr>
          <w:rFonts w:ascii="Times New Roman" w:hAnsi="Times New Roman" w:cs="Times New Roman"/>
          <w:sz w:val="28"/>
          <w:szCs w:val="28"/>
          <w:lang w:eastAsia="ru-RU"/>
        </w:rPr>
        <w:t>Розміщення цінних паперів на ринку може здійснюватися:</w:t>
      </w:r>
    </w:p>
    <w:p w:rsidR="00BE0179" w:rsidRPr="008B39B5" w:rsidRDefault="004956E6" w:rsidP="008B39B5">
      <w:pPr>
        <w:pStyle w:val="a3"/>
        <w:numPr>
          <w:ilvl w:val="0"/>
          <w:numId w:val="18"/>
        </w:numPr>
        <w:spacing w:line="360" w:lineRule="auto"/>
        <w:ind w:left="0" w:firstLine="709"/>
        <w:jc w:val="both"/>
        <w:rPr>
          <w:rFonts w:ascii="Times New Roman" w:hAnsi="Times New Roman" w:cs="Times New Roman"/>
          <w:sz w:val="28"/>
          <w:szCs w:val="28"/>
          <w:lang w:eastAsia="ru-RU"/>
        </w:rPr>
      </w:pPr>
      <w:r w:rsidRPr="008B39B5">
        <w:rPr>
          <w:rFonts w:ascii="Times New Roman" w:hAnsi="Times New Roman" w:cs="Times New Roman"/>
          <w:sz w:val="28"/>
          <w:szCs w:val="28"/>
          <w:lang w:eastAsia="ru-RU"/>
        </w:rPr>
        <w:t xml:space="preserve">безпосередньо їх емітентом; </w:t>
      </w:r>
    </w:p>
    <w:p w:rsidR="00BE0179" w:rsidRPr="008B39B5" w:rsidRDefault="004956E6" w:rsidP="008B39B5">
      <w:pPr>
        <w:pStyle w:val="a3"/>
        <w:numPr>
          <w:ilvl w:val="0"/>
          <w:numId w:val="18"/>
        </w:numPr>
        <w:spacing w:line="360" w:lineRule="auto"/>
        <w:ind w:left="0" w:firstLine="709"/>
        <w:jc w:val="both"/>
        <w:rPr>
          <w:rFonts w:ascii="Times New Roman" w:hAnsi="Times New Roman" w:cs="Times New Roman"/>
          <w:sz w:val="28"/>
          <w:szCs w:val="28"/>
          <w:lang w:eastAsia="ru-RU"/>
        </w:rPr>
      </w:pPr>
      <w:r w:rsidRPr="008B39B5">
        <w:rPr>
          <w:rFonts w:ascii="Times New Roman" w:hAnsi="Times New Roman" w:cs="Times New Roman"/>
          <w:sz w:val="28"/>
          <w:szCs w:val="28"/>
          <w:lang w:eastAsia="ru-RU"/>
        </w:rPr>
        <w:t xml:space="preserve">через посередників; </w:t>
      </w:r>
    </w:p>
    <w:p w:rsidR="00BE0179" w:rsidRPr="008B39B5" w:rsidRDefault="004956E6" w:rsidP="008B39B5">
      <w:pPr>
        <w:pStyle w:val="a3"/>
        <w:numPr>
          <w:ilvl w:val="0"/>
          <w:numId w:val="18"/>
        </w:numPr>
        <w:spacing w:line="360" w:lineRule="auto"/>
        <w:ind w:left="0" w:firstLine="709"/>
        <w:jc w:val="both"/>
        <w:rPr>
          <w:rFonts w:ascii="Times New Roman" w:hAnsi="Times New Roman" w:cs="Times New Roman"/>
          <w:sz w:val="28"/>
          <w:szCs w:val="28"/>
          <w:lang w:eastAsia="ru-RU"/>
        </w:rPr>
      </w:pPr>
      <w:r w:rsidRPr="008B39B5">
        <w:rPr>
          <w:rFonts w:ascii="Times New Roman" w:hAnsi="Times New Roman" w:cs="Times New Roman"/>
          <w:sz w:val="28"/>
          <w:szCs w:val="28"/>
          <w:lang w:eastAsia="ru-RU"/>
        </w:rPr>
        <w:t>на аукціонах.</w:t>
      </w:r>
    </w:p>
    <w:p w:rsidR="004956E6" w:rsidRPr="008B39B5" w:rsidRDefault="004956E6" w:rsidP="008B39B5">
      <w:pPr>
        <w:spacing w:line="360" w:lineRule="auto"/>
        <w:jc w:val="both"/>
        <w:rPr>
          <w:rFonts w:ascii="Times New Roman" w:hAnsi="Times New Roman" w:cs="Times New Roman"/>
          <w:sz w:val="28"/>
          <w:szCs w:val="28"/>
          <w:lang w:eastAsia="ru-RU"/>
        </w:rPr>
      </w:pPr>
      <w:r w:rsidRPr="008B39B5">
        <w:rPr>
          <w:rFonts w:ascii="Times New Roman" w:hAnsi="Times New Roman" w:cs="Times New Roman"/>
          <w:sz w:val="28"/>
          <w:szCs w:val="28"/>
          <w:lang w:eastAsia="ru-RU"/>
        </w:rPr>
        <w:t xml:space="preserve">Розміщення цінних паперів на ринку безпосередньо емітентом (прямий продаж) відбувається дуже рідко і головним чином тоді, коли емітент не тільки добре відомий, а й має зв’язки з можливими покупцями. Зокрема, прямий продаж набув поширення на ринку корпоративних облігацій у вигляді продажу їх безпосередньо інституційним інвесторам без публічного оголошення та відкритої передплати, а також без попередньої купівлі облігацій інвестиційним дилером. Прямий продаж дає можливість корпораціям уникнути витрат, пов’язаних із складною процедурою публічних випусків та оплатою послуг дилерів, і крім того, уникнути розголошення. Найпоширеніший спосіб розміщення цінних паперів – через посередників, інвестиційних дилерів, що мають великий досвід проведення операцій на ринку. </w:t>
      </w:r>
    </w:p>
    <w:p w:rsidR="004956E6" w:rsidRPr="008B39B5" w:rsidRDefault="004956E6" w:rsidP="008B39B5">
      <w:pPr>
        <w:spacing w:line="360" w:lineRule="auto"/>
        <w:jc w:val="both"/>
        <w:rPr>
          <w:rFonts w:ascii="Times New Roman" w:hAnsi="Times New Roman" w:cs="Times New Roman"/>
          <w:sz w:val="28"/>
          <w:szCs w:val="28"/>
          <w:lang w:eastAsia="ru-RU"/>
        </w:rPr>
      </w:pPr>
      <w:r w:rsidRPr="008B39B5">
        <w:rPr>
          <w:rFonts w:ascii="Times New Roman" w:hAnsi="Times New Roman" w:cs="Times New Roman"/>
          <w:sz w:val="28"/>
          <w:szCs w:val="28"/>
          <w:lang w:eastAsia="ru-RU"/>
        </w:rPr>
        <w:t>Емітент укладає угоду з інвестиційним дилером на розміщення цінних паперів нового випуску. Спочатку дилер здійснює старанний аналіз передбачуваного випуску з точки зору прибутковості. Відносини між емітентом та дилером можуть будуватися по-різному. Дилер може виступити в ролі покупця цінних паперів з метою їх подальшого перепродажу. Така купівля цінних паперів називається передплатою (</w:t>
      </w:r>
      <w:r w:rsidR="00B2663E" w:rsidRPr="008B39B5">
        <w:rPr>
          <w:rFonts w:ascii="Times New Roman" w:hAnsi="Times New Roman" w:cs="Times New Roman"/>
          <w:sz w:val="28"/>
          <w:szCs w:val="28"/>
          <w:lang w:eastAsia="ru-RU"/>
        </w:rPr>
        <w:t>андерайтингом</w:t>
      </w:r>
      <w:r w:rsidRPr="008B39B5">
        <w:rPr>
          <w:rFonts w:ascii="Times New Roman" w:hAnsi="Times New Roman" w:cs="Times New Roman"/>
          <w:sz w:val="28"/>
          <w:szCs w:val="28"/>
          <w:lang w:eastAsia="ru-RU"/>
        </w:rPr>
        <w:t xml:space="preserve">), а сам дилер – передплатником (андерайтером). Іноді дилер бере у емітента опціон, тобто право купити випуск. Таке право він реалізує, якщо тільки знайде покупців. Дилер може виступати у ролі агента емітента – брокера. У цьому випадку він бере цінні папери на комісію та намагається по можливості продати їх. </w:t>
      </w:r>
    </w:p>
    <w:p w:rsidR="004956E6" w:rsidRPr="008B39B5" w:rsidRDefault="004956E6" w:rsidP="008B39B5">
      <w:pPr>
        <w:spacing w:line="360" w:lineRule="auto"/>
        <w:jc w:val="both"/>
        <w:rPr>
          <w:rFonts w:ascii="Times New Roman" w:hAnsi="Times New Roman" w:cs="Times New Roman"/>
          <w:sz w:val="28"/>
          <w:szCs w:val="28"/>
          <w:lang w:eastAsia="ru-RU"/>
        </w:rPr>
      </w:pPr>
      <w:r w:rsidRPr="008B39B5">
        <w:rPr>
          <w:rFonts w:ascii="Times New Roman" w:hAnsi="Times New Roman" w:cs="Times New Roman"/>
          <w:sz w:val="28"/>
          <w:szCs w:val="28"/>
          <w:lang w:eastAsia="ru-RU"/>
        </w:rPr>
        <w:t xml:space="preserve">Розміщення цінних паперів може відбуватися публічно чи приватно. При публічному розміщенні цінні папери за допомогою реклами пропонуються широкому колу потенційних інвесторів. У випадку приватного розміщення цінних паперів інвестиційний дилер виступає агентом емітента і за комісійну винагороду знаходить покупців. Розміщення цінних паперів може здійснюватися за допомогою аукціонів. </w:t>
      </w:r>
    </w:p>
    <w:p w:rsidR="004956E6" w:rsidRPr="008B39B5" w:rsidRDefault="004956E6" w:rsidP="008B39B5">
      <w:pPr>
        <w:spacing w:line="360" w:lineRule="auto"/>
        <w:jc w:val="both"/>
        <w:rPr>
          <w:rFonts w:ascii="Times New Roman" w:hAnsi="Times New Roman" w:cs="Times New Roman"/>
          <w:sz w:val="28"/>
          <w:szCs w:val="28"/>
          <w:lang w:eastAsia="ru-RU"/>
        </w:rPr>
      </w:pPr>
      <w:r w:rsidRPr="008B39B5">
        <w:rPr>
          <w:rFonts w:ascii="Times New Roman" w:hAnsi="Times New Roman" w:cs="Times New Roman"/>
          <w:sz w:val="28"/>
          <w:szCs w:val="28"/>
          <w:lang w:eastAsia="ru-RU"/>
        </w:rPr>
        <w:t xml:space="preserve">Вторинний ринок цінних паперів – це ринок, де продаються та купуються раніше випущені цінні папери, відбувається зміна їх власників. З точки зору організації вторинний ринок поділяється на позабіржовий (вуличний) та біржовий. Історично позабіржовий ринок передує біржовому. У країнах з ринковою економікою біржі природно виростали із вуличного ринку в міру того, як збільшувалися масштаби фондових операцій, множилися емітенти цінних паперів, вдосконалювалася техніка брокерської справи. </w:t>
      </w:r>
    </w:p>
    <w:p w:rsidR="00FA365D" w:rsidRPr="00FA365D" w:rsidRDefault="004956E6" w:rsidP="00FA365D">
      <w:pPr>
        <w:spacing w:line="360" w:lineRule="auto"/>
        <w:jc w:val="both"/>
        <w:rPr>
          <w:rFonts w:ascii="Times New Roman" w:hAnsi="Times New Roman" w:cs="Times New Roman"/>
          <w:sz w:val="28"/>
          <w:szCs w:val="28"/>
          <w:lang w:eastAsia="ru-RU"/>
        </w:rPr>
      </w:pPr>
      <w:r w:rsidRPr="00FA365D">
        <w:rPr>
          <w:rFonts w:ascii="Times New Roman" w:hAnsi="Times New Roman" w:cs="Times New Roman"/>
          <w:sz w:val="28"/>
          <w:szCs w:val="28"/>
          <w:lang w:eastAsia="ru-RU"/>
        </w:rPr>
        <w:t>На позабіржовому ринку знаходяться в обігу цінні папери новостворених, маловідомих, невеликих компаній, які не отримали допуску до операцій на фондовій біржі. Проте на цьому ринку можна зустріти й цінні папери відомих великих компаній, які з тієї чи іншої причини віддають перевагу позабіржовому ринку. Позабіржовий ринок є мережею брокерських та дилерських фірм, які часто є членами біржі і пов’язані між собою та з найбільшими інституційними інвесторами телефоном, телетайпом та телексом.</w:t>
      </w:r>
    </w:p>
    <w:p w:rsidR="00FA365D" w:rsidRPr="00FA365D" w:rsidRDefault="00FA365D" w:rsidP="00FA365D">
      <w:pPr>
        <w:spacing w:line="360" w:lineRule="auto"/>
        <w:jc w:val="both"/>
        <w:rPr>
          <w:rFonts w:ascii="Times New Roman" w:hAnsi="Times New Roman" w:cs="Times New Roman"/>
          <w:sz w:val="28"/>
          <w:szCs w:val="28"/>
          <w:lang w:eastAsia="ru-RU"/>
        </w:rPr>
      </w:pPr>
    </w:p>
    <w:p w:rsidR="00FA365D" w:rsidRDefault="00FA365D" w:rsidP="00FA365D">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00AB4C1C" w:rsidRPr="00FA365D">
        <w:rPr>
          <w:rFonts w:ascii="Times New Roman" w:hAnsi="Times New Roman" w:cs="Times New Roman"/>
          <w:sz w:val="28"/>
          <w:szCs w:val="28"/>
        </w:rPr>
        <w:t>Цінні папери як об’єкт операцій на ринку</w:t>
      </w:r>
      <w:r w:rsidR="004F447F" w:rsidRPr="00FA365D">
        <w:rPr>
          <w:rFonts w:ascii="Times New Roman" w:hAnsi="Times New Roman" w:cs="Times New Roman"/>
          <w:sz w:val="28"/>
          <w:szCs w:val="28"/>
        </w:rPr>
        <w:t xml:space="preserve">. Фактори впливу на їх </w:t>
      </w:r>
    </w:p>
    <w:p w:rsidR="00D755D1" w:rsidRDefault="004F447F" w:rsidP="00FA365D">
      <w:pPr>
        <w:spacing w:line="360" w:lineRule="auto"/>
        <w:jc w:val="both"/>
        <w:rPr>
          <w:rFonts w:ascii="Times New Roman" w:hAnsi="Times New Roman" w:cs="Times New Roman"/>
          <w:sz w:val="28"/>
          <w:szCs w:val="28"/>
        </w:rPr>
      </w:pPr>
      <w:r w:rsidRPr="00FA365D">
        <w:rPr>
          <w:rFonts w:ascii="Times New Roman" w:hAnsi="Times New Roman" w:cs="Times New Roman"/>
          <w:sz w:val="28"/>
          <w:szCs w:val="28"/>
        </w:rPr>
        <w:t>вартість</w:t>
      </w:r>
    </w:p>
    <w:p w:rsidR="00FA365D" w:rsidRPr="00FA365D" w:rsidRDefault="00FA365D" w:rsidP="00FA365D">
      <w:pPr>
        <w:spacing w:line="360" w:lineRule="auto"/>
        <w:jc w:val="both"/>
        <w:rPr>
          <w:rFonts w:ascii="Times New Roman" w:hAnsi="Times New Roman" w:cs="Times New Roman"/>
          <w:sz w:val="28"/>
          <w:szCs w:val="28"/>
        </w:rPr>
      </w:pPr>
    </w:p>
    <w:p w:rsidR="00903646" w:rsidRPr="00FA365D" w:rsidRDefault="00903646" w:rsidP="008B39B5">
      <w:pPr>
        <w:spacing w:line="360" w:lineRule="auto"/>
        <w:jc w:val="both"/>
        <w:rPr>
          <w:rFonts w:ascii="Times New Roman" w:hAnsi="Times New Roman" w:cs="Times New Roman"/>
          <w:sz w:val="28"/>
          <w:szCs w:val="28"/>
        </w:rPr>
      </w:pPr>
      <w:bookmarkStart w:id="0" w:name="st8"/>
      <w:bookmarkEnd w:id="0"/>
      <w:r w:rsidRPr="00FA365D">
        <w:rPr>
          <w:rFonts w:ascii="Times New Roman" w:hAnsi="Times New Roman" w:cs="Times New Roman"/>
          <w:sz w:val="28"/>
          <w:szCs w:val="28"/>
        </w:rPr>
        <w:t>Акції</w:t>
      </w:r>
    </w:p>
    <w:p w:rsidR="00903646" w:rsidRPr="008B39B5" w:rsidRDefault="00903646" w:rsidP="008B39B5">
      <w:pPr>
        <w:spacing w:line="360" w:lineRule="auto"/>
        <w:jc w:val="both"/>
        <w:rPr>
          <w:rFonts w:ascii="Times New Roman" w:hAnsi="Times New Roman" w:cs="Times New Roman"/>
          <w:sz w:val="28"/>
          <w:szCs w:val="28"/>
        </w:rPr>
      </w:pPr>
      <w:r w:rsidRPr="00FA365D">
        <w:rPr>
          <w:rFonts w:ascii="Times New Roman" w:hAnsi="Times New Roman" w:cs="Times New Roman"/>
          <w:sz w:val="28"/>
          <w:szCs w:val="28"/>
        </w:rPr>
        <w:t>Акція – іменний цінний папір, який посвідчує майнові права його власника (акціонера), що стосуються акціонерного това</w:t>
      </w:r>
      <w:r w:rsidRPr="008B39B5">
        <w:rPr>
          <w:rFonts w:ascii="Times New Roman" w:hAnsi="Times New Roman" w:cs="Times New Roman"/>
          <w:sz w:val="28"/>
          <w:szCs w:val="28"/>
        </w:rPr>
        <w:t>риства, включаючи право на отримання частини прибутку акціонерного товариства у вигляді дивідендів та право на отримання частини майна акціонерного товариства у разі його ліквідації, право на управління акціонерним товариством, а також немайнові права, передбачені Цивільним кодексом України та законом, що регулює питання створення, діяльності та припинення акціонерних товариств.</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Акціонер приватного та публічного товариства має переважне право на придбання акцій додаткової емісії.</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Переважним правом акціонера визнається:</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право акціонера – власника простих акцій придбавати у процесі приватного розміщення товариством прості акції пропорційно частці належних йому простих акцій у загальній кількості емітованих простих акцій;</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право акціонера –- власника привілейованих акцій придбавати у процесі приватного розміщення товариством привілейовані акції цього або нового класу, якщо акції такого класу надають їх власникам перевагу щодо черговості отримання дивідендів чи виплат у разі ліквідації товариства, пропорційно частці належних акціонеру привілейованих акцій певного класу в загальній кількості привілейованих акцій цього класу.</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Емітентом акцій є тільки акціонерне товариство. Порядок прийняття відповідним органом акціонерного товариства рішення про розміщення акцій визначається законом, що регулює питання утворення, діяльності та припинення акціонерних товариств.</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Акція має номінальну вартість, установлену в національній валюті. Мінімальна номінальна вартість акції не може бути меншою, ніж одна копійка.</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Акціонерне товариство розміщує тільки іменні акції.</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У сертифікаті акції зазначаються вид цінного паперу, найменування та місцезнаходження акціонерного товариства, серія і номер сертифіката, номер і дата випуску, міжнародний ідентифікаційний номер цінного паперу, тип і номінальна вартість акції, ім'я власника, кількість акцій, що випускаються.</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Акціонерне товариство розміщує акції двох типів – прості та привілейовані.</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Прості акції надають їх власникам право на отримання частини прибутку акціонерного товариства у вигляді дивідендів, на участь в управлінні акціонерним товариством, на отримання частини майна акціонерного товариства у разі його ліквідації та інші права, передбачені законом, що регулює питання створення, діяльності та припинення акціонерних товариств. Прості акції надають їх власникам однакові права.</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Прості акції не підлягають конвертації у привілейовані акції або інші цінні папери акціонерного товариства.</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Привілейовані акції надають їх власникам переважні, стосовно власників простих акцій, права на отримання частини прибутку акціонерного товариства у вигляді дивідендів та на отримання частини майна акціонерного товариства у разі його ліквідації, а також надають права на участь в управлінні акціонерним товариством у випадках, передбачених статутом і законом, який регулює питання створення, діяльності та припинення акціонерних товариств.</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Акціонерне товариство розміщує привілейовані акції різних класів (з різним обсягом прав), якщо така можливість передбачена його статутом. У такому разі умовою їх розміщення є черговість отримання дивідендів і виплат з майна ліквідованого товариства для кожного класу привілейованих акцій, розміщених акціонерним товариством, яка встановлюється статутом товариства. Залежно від умов розміщення привілейовані акції певних класів можуть бути конвертовані у прості акції або у привілейовані акції інших класів.</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Частка привілейованих акцій у статутному капіталі акціонерного товариства не може перевищувати 25 відсотків.</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Облігації</w:t>
      </w:r>
      <w:bookmarkStart w:id="1" w:name="st9"/>
      <w:bookmarkEnd w:id="1"/>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Облігація – цінний папір, що посвідчує внесення його власником грошей, визначає відносини позики між власником облігації та емітентом, підтверджує зобов'язання емітента повернути власникові облігації її номінальну вартість у передбачений умовами розміщення облігацій строк та виплатити доход за облігацією, якщо інше не передбачено умовами розміщення.</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Емітент, у порядку, встановленому Державною комісією з цінних паперів та фондового ринку, може розміщувати відсоткові, цільові та дисконтні облігації:</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Відсоткові облігації - облігації, за якими передбачається виплата відсоткових доходів.</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Цільові облігації – облігації, виконання зобов'язань за якими дозволяється товарами або послугами відповідно до вимог, встановлених умовами розміщення таких облігацій.</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Дисконтні облігації – облігації, що розміщуються за ціною, нижчою ніж їх номінальна вартість. Різниця між ціною придбання та номінальною вартістю облігації виплачується власнику облігації під час її погашення і становить доход (дисконт) за облігацією.</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Облігації можуть розміщуватися з фіксованим строком погашення, єдиним для всього випуску. Дострокове погашення облігацій за вимогою їх власників дозволяється у разі, коли така можливість передбачена умовами розміщення облігацій, якими визначені порядок встановлення ціни дострокового погашення облігацій і строк, у який облігації можуть бути пред'явлені для дострокового погашення.</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Погашення облігацій може здійснюватися грошима або майном відповідно до умов розміщення облігацій.</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Облігація має номінальну вартість, визначену в національній валюті, а якщо це передбачено умовами розміщення облігацій - в іноземній валюті. Мінімальна номінальна вартість облігації не може бути меншою ніж одна копійка.</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 xml:space="preserve">Емітент може розміщувати іменні облігації та облігації на пред'явника. </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У сертифікаті облігації зазначаються назва виду цінного паперу, найменування та місцезнаходження емітента, міжнародний ідентифікаційний номер цінного паперу, номінальна вартість облігації, загальна сума випуску, строк погашення, розмір та строки виплати відсотків (для відсоткової облігації), дата прийняття рішення про розміщення облігацій, серія та номер сертифіката облігації, підпис керівника емітента або іншої уповноваженої особи, засвідчений печаткою емітента.</w:t>
      </w:r>
    </w:p>
    <w:p w:rsidR="00903646" w:rsidRPr="008B39B5" w:rsidRDefault="00903646" w:rsidP="008B39B5">
      <w:pPr>
        <w:spacing w:line="360" w:lineRule="auto"/>
        <w:jc w:val="both"/>
        <w:rPr>
          <w:rFonts w:ascii="Times New Roman" w:hAnsi="Times New Roman" w:cs="Times New Roman"/>
          <w:sz w:val="28"/>
          <w:szCs w:val="28"/>
        </w:rPr>
      </w:pPr>
      <w:bookmarkStart w:id="2" w:name="st10"/>
      <w:bookmarkEnd w:id="2"/>
      <w:r w:rsidRPr="008B39B5">
        <w:rPr>
          <w:rFonts w:ascii="Times New Roman" w:hAnsi="Times New Roman" w:cs="Times New Roman"/>
          <w:sz w:val="28"/>
          <w:szCs w:val="28"/>
        </w:rPr>
        <w:t>Облігації підприємств</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Облігації підприємств розміщуються юридичними особами тільки після повної сплати свого статутного капіталу.</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Облігації підприємств підтверджують зобов'язання емітента за ними та не дають право на участь в управлінні емітентом.</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Не допускається розміщення облігацій підприємств для формування і поповнення статутного капіталу емітента, а також покриття збитків від господарської діяльності шляхом зарахування доходу від продажу облігацій як результату поточної господарської діяльності.</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Юридична особа має право розміщувати облігації на суму, яка не перевищує трикратного розміру власного капіталу або розміру забезпечення, що надається їй з цією метою третіми особами.</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Умови розміщення облігацій, що розміщуються акціонерним товариством, можуть передбачати можливість їх конвертації в акції акціонерного товариства (конвертовані облігації).</w:t>
      </w:r>
    </w:p>
    <w:p w:rsidR="00903646" w:rsidRPr="008B39B5" w:rsidRDefault="00903646" w:rsidP="008B39B5">
      <w:pPr>
        <w:spacing w:line="360" w:lineRule="auto"/>
        <w:jc w:val="both"/>
        <w:rPr>
          <w:rFonts w:ascii="Times New Roman" w:hAnsi="Times New Roman" w:cs="Times New Roman"/>
          <w:sz w:val="28"/>
          <w:szCs w:val="28"/>
        </w:rPr>
      </w:pPr>
      <w:bookmarkStart w:id="3" w:name="st11"/>
      <w:bookmarkEnd w:id="3"/>
      <w:r w:rsidRPr="008B39B5">
        <w:rPr>
          <w:rFonts w:ascii="Times New Roman" w:hAnsi="Times New Roman" w:cs="Times New Roman"/>
          <w:sz w:val="28"/>
          <w:szCs w:val="28"/>
        </w:rPr>
        <w:t>Облігації місцевих позик</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До облігацій місцевих позик належать облігації внутрішніх та зовнішніх місцевих позик.</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Рішення про розміщення облігацій місцевих позик приймає Верховна Рада Автономної Республіки Крим або міська рада відповідно до вимог, установлених бюджетним законодавством.</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Особливості погашення та реалізації прав за облігаціями місцевих позик визначаються умовами їх розміщення.</w:t>
      </w:r>
    </w:p>
    <w:p w:rsidR="00903646" w:rsidRPr="008B39B5" w:rsidRDefault="00903646" w:rsidP="008B39B5">
      <w:pPr>
        <w:spacing w:line="360" w:lineRule="auto"/>
        <w:jc w:val="both"/>
        <w:rPr>
          <w:rFonts w:ascii="Times New Roman" w:hAnsi="Times New Roman" w:cs="Times New Roman"/>
          <w:sz w:val="28"/>
          <w:szCs w:val="28"/>
        </w:rPr>
      </w:pPr>
      <w:bookmarkStart w:id="4" w:name="st12"/>
      <w:bookmarkEnd w:id="4"/>
      <w:r w:rsidRPr="008B39B5">
        <w:rPr>
          <w:rFonts w:ascii="Times New Roman" w:hAnsi="Times New Roman" w:cs="Times New Roman"/>
          <w:sz w:val="28"/>
          <w:szCs w:val="28"/>
        </w:rPr>
        <w:t>Державні облігації України</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Державні облігації України можуть бути:</w:t>
      </w:r>
    </w:p>
    <w:p w:rsidR="00903646" w:rsidRPr="008B39B5" w:rsidRDefault="00903646" w:rsidP="008B39B5">
      <w:pPr>
        <w:pStyle w:val="a3"/>
        <w:numPr>
          <w:ilvl w:val="0"/>
          <w:numId w:val="23"/>
        </w:numPr>
        <w:spacing w:line="360" w:lineRule="auto"/>
        <w:ind w:left="0" w:firstLine="709"/>
        <w:jc w:val="both"/>
        <w:rPr>
          <w:rFonts w:ascii="Times New Roman" w:hAnsi="Times New Roman" w:cs="Times New Roman"/>
          <w:sz w:val="28"/>
          <w:szCs w:val="28"/>
        </w:rPr>
      </w:pPr>
      <w:r w:rsidRPr="008B39B5">
        <w:rPr>
          <w:rFonts w:ascii="Times New Roman" w:hAnsi="Times New Roman" w:cs="Times New Roman"/>
          <w:sz w:val="28"/>
          <w:szCs w:val="28"/>
        </w:rPr>
        <w:t>довгострокові - понад п'ять років;</w:t>
      </w:r>
    </w:p>
    <w:p w:rsidR="00903646" w:rsidRPr="008B39B5" w:rsidRDefault="00903646" w:rsidP="008B39B5">
      <w:pPr>
        <w:pStyle w:val="a3"/>
        <w:numPr>
          <w:ilvl w:val="0"/>
          <w:numId w:val="23"/>
        </w:numPr>
        <w:spacing w:line="360" w:lineRule="auto"/>
        <w:ind w:left="0" w:firstLine="709"/>
        <w:jc w:val="both"/>
        <w:rPr>
          <w:rFonts w:ascii="Times New Roman" w:hAnsi="Times New Roman" w:cs="Times New Roman"/>
          <w:sz w:val="28"/>
          <w:szCs w:val="28"/>
        </w:rPr>
      </w:pPr>
      <w:r w:rsidRPr="008B39B5">
        <w:rPr>
          <w:rFonts w:ascii="Times New Roman" w:hAnsi="Times New Roman" w:cs="Times New Roman"/>
          <w:sz w:val="28"/>
          <w:szCs w:val="28"/>
        </w:rPr>
        <w:t>середньострокові - від одного до п'яти років;</w:t>
      </w:r>
    </w:p>
    <w:p w:rsidR="00903646" w:rsidRPr="008B39B5" w:rsidRDefault="00903646" w:rsidP="008B39B5">
      <w:pPr>
        <w:pStyle w:val="a3"/>
        <w:numPr>
          <w:ilvl w:val="0"/>
          <w:numId w:val="23"/>
        </w:numPr>
        <w:spacing w:line="360" w:lineRule="auto"/>
        <w:ind w:left="0" w:firstLine="709"/>
        <w:jc w:val="both"/>
        <w:rPr>
          <w:rFonts w:ascii="Times New Roman" w:hAnsi="Times New Roman" w:cs="Times New Roman"/>
          <w:sz w:val="28"/>
          <w:szCs w:val="28"/>
        </w:rPr>
      </w:pPr>
      <w:r w:rsidRPr="008B39B5">
        <w:rPr>
          <w:rFonts w:ascii="Times New Roman" w:hAnsi="Times New Roman" w:cs="Times New Roman"/>
          <w:sz w:val="28"/>
          <w:szCs w:val="28"/>
        </w:rPr>
        <w:t>короткострокові - до одного року.</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Державні облігації України поділяються на облігації внутрішніх державних позик України, облігації зовнішніх державних позик України та цільові облігації внутрішніх державних позик України.</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Облігації внутрішніх державних позик України - державні цінні папери, що розміщуються виключно на внутрішньому фондовому ринку і підтверджують зобов'язання України щодо відшкодування пред'явникам цих облігацій їх номінальної вартості з виплатою доходу відповідно до умов розміщення облігацій.</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Цільові облігації внутрішніх державних позик України - облігації внутрішніх державних позик, емісія яких є джерелом фінансування дефіциту державного бюджету в обсягах, передбачених на цю мету законом про Державний бюджет України на відповідний рік, та в межах граничного розміру державного боргу.</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Основним реквізитом цільових облігацій внутрішніх державних позик України є зазначення передбаченого законом про Державний бюджет України на відповідний рік напряму використання залучених від розміщення таких облігацій коштів.</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Облігації зовнішніх державних позик України - державні боргові цінні папери, що розміщуються на міжнародних фондових ринках і підтверджують зобов'язання України відшкодувати пред'явникам цих облігацій їх номінальну вартість з виплатою доходу відповідно до умов випуску облігацій.</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Емісія державних облігацій України є частиною бюджетного процесу і не підлягає регулюванню Державною комісією з цінних паперів та фондового ринку.</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Емісія державних облігацій України регулюється законом України про Державний бюджет України на відповідний рік, яким встановлюються граничні розміри державного зовнішнього та внутрішнього боргу.</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Рішення про розміщення облігацій зовнішніх та внутрішніх державних позик України та умови їх випуску приймається згідно з Бюджетним кодексом України.</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Розміщення державних облігацій України здійснюється у разі дотримання на кінець року граничних розмірів державного зовнішнього та внутрішнього боргу, передбачених Верховною Радою України в законі про Державний бюджет України на відповідний рік.</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Казначейські зобов'</w:t>
      </w:r>
      <w:bookmarkStart w:id="5" w:name="st13"/>
      <w:bookmarkEnd w:id="5"/>
      <w:r w:rsidRPr="008B39B5">
        <w:rPr>
          <w:rFonts w:ascii="Times New Roman" w:hAnsi="Times New Roman" w:cs="Times New Roman"/>
          <w:sz w:val="28"/>
          <w:szCs w:val="28"/>
        </w:rPr>
        <w:t>язання України</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 xml:space="preserve">Казначейське зобов'язання України </w:t>
      </w:r>
      <w:r w:rsidR="00C10D81" w:rsidRPr="008B39B5">
        <w:rPr>
          <w:rFonts w:ascii="Times New Roman" w:hAnsi="Times New Roman" w:cs="Times New Roman"/>
          <w:sz w:val="28"/>
          <w:szCs w:val="28"/>
        </w:rPr>
        <w:t>–</w:t>
      </w:r>
      <w:r w:rsidRPr="008B39B5">
        <w:rPr>
          <w:rFonts w:ascii="Times New Roman" w:hAnsi="Times New Roman" w:cs="Times New Roman"/>
          <w:sz w:val="28"/>
          <w:szCs w:val="28"/>
        </w:rPr>
        <w:t xml:space="preserve"> державний цінний папір, що розміщується виключно на добровільних засадах серед фізичних осіб, посвідчує факт заборгованості Державного бюджету України перед власником казначейського зобов'язання України, дає власнику право на отримання грошового доходу та погашається відповідно до умов розміщення казначейських зобов'язань України.</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Обсяг емісії казначейських зобов'язань України у сукупності з емісією державних облігацій внутрішніх державних позик України не може перевищувати граничного обсягу внутрішнього державного боргу та обсягу пов'язаних з обслуговуванням державного боргу видатків, визначених законом про Державний бюджет України на відповідний рік.</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Емісія казначейських зобов'язань України є частиною бюджетного процесу і не підлягає регулюванню Державною комісією з цінних паперів та фондового ринку.</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Погашення та сплата доходу за казначейськими зобов'язаннями України гарантується доходами Державного бюджету України.</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Казначейські зобов'язання України можуть бути:</w:t>
      </w:r>
    </w:p>
    <w:p w:rsidR="00903646" w:rsidRPr="008B39B5" w:rsidRDefault="00903646" w:rsidP="008B39B5">
      <w:pPr>
        <w:pStyle w:val="a3"/>
        <w:numPr>
          <w:ilvl w:val="0"/>
          <w:numId w:val="22"/>
        </w:numPr>
        <w:spacing w:line="360" w:lineRule="auto"/>
        <w:ind w:left="0" w:firstLine="709"/>
        <w:jc w:val="both"/>
        <w:rPr>
          <w:rFonts w:ascii="Times New Roman" w:hAnsi="Times New Roman" w:cs="Times New Roman"/>
          <w:sz w:val="28"/>
          <w:szCs w:val="28"/>
        </w:rPr>
      </w:pPr>
      <w:r w:rsidRPr="008B39B5">
        <w:rPr>
          <w:rFonts w:ascii="Times New Roman" w:hAnsi="Times New Roman" w:cs="Times New Roman"/>
          <w:sz w:val="28"/>
          <w:szCs w:val="28"/>
        </w:rPr>
        <w:t>довгострокові - понад п'ять років;</w:t>
      </w:r>
    </w:p>
    <w:p w:rsidR="00903646" w:rsidRPr="008B39B5" w:rsidRDefault="00903646" w:rsidP="008B39B5">
      <w:pPr>
        <w:pStyle w:val="a3"/>
        <w:numPr>
          <w:ilvl w:val="0"/>
          <w:numId w:val="22"/>
        </w:numPr>
        <w:spacing w:line="360" w:lineRule="auto"/>
        <w:ind w:left="0" w:firstLine="709"/>
        <w:jc w:val="both"/>
        <w:rPr>
          <w:rFonts w:ascii="Times New Roman" w:hAnsi="Times New Roman" w:cs="Times New Roman"/>
          <w:sz w:val="28"/>
          <w:szCs w:val="28"/>
        </w:rPr>
      </w:pPr>
      <w:r w:rsidRPr="008B39B5">
        <w:rPr>
          <w:rFonts w:ascii="Times New Roman" w:hAnsi="Times New Roman" w:cs="Times New Roman"/>
          <w:sz w:val="28"/>
          <w:szCs w:val="28"/>
        </w:rPr>
        <w:t>середньострокові - від одного до п'яти років;</w:t>
      </w:r>
    </w:p>
    <w:p w:rsidR="00903646" w:rsidRPr="008B39B5" w:rsidRDefault="00903646" w:rsidP="008B39B5">
      <w:pPr>
        <w:pStyle w:val="a3"/>
        <w:numPr>
          <w:ilvl w:val="0"/>
          <w:numId w:val="22"/>
        </w:numPr>
        <w:spacing w:line="360" w:lineRule="auto"/>
        <w:ind w:left="0" w:firstLine="709"/>
        <w:jc w:val="both"/>
        <w:rPr>
          <w:rFonts w:ascii="Times New Roman" w:hAnsi="Times New Roman" w:cs="Times New Roman"/>
          <w:sz w:val="28"/>
          <w:szCs w:val="28"/>
        </w:rPr>
      </w:pPr>
      <w:r w:rsidRPr="008B39B5">
        <w:rPr>
          <w:rFonts w:ascii="Times New Roman" w:hAnsi="Times New Roman" w:cs="Times New Roman"/>
          <w:sz w:val="28"/>
          <w:szCs w:val="28"/>
        </w:rPr>
        <w:t>короткострокові - до одного року.</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Емітентом казначейських зобов'язань України виступає держава в особі Міністерства фінансів України за дорученням Кабінету Міністрів України.</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Казначейські зобов'язання України можуть бути іменними або на пред'явника.</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Рішення про розміщення казначейських зобов'язань України приймається згідно з Бюджетним кодексом України. У рішенні передбачаються умови розміщення та погашення казначейських зобов'язань України.</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Умови розміщення казначейських зобов'язань України можуть передбачати їх погашення шляхом зменшення зобов'язань перед Державним бюджетом України власника казначейського зобов'язання України на вартість цього зобов'язання.</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Порядок визначення вартості продажу казначейських зобов'язань України під час їх розміщення встановлюється Міністерством фінансів України.</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Особливості провадження депозитарної діяльності з казначейськими зобов'язаннями України визначаються Державною комісією з цінних паперів та фондового ринку разом з Національним банком України.</w:t>
      </w:r>
    </w:p>
    <w:p w:rsidR="00903646" w:rsidRPr="008B39B5" w:rsidRDefault="00903646" w:rsidP="008B39B5">
      <w:pPr>
        <w:spacing w:line="360" w:lineRule="auto"/>
        <w:jc w:val="both"/>
        <w:rPr>
          <w:rFonts w:ascii="Times New Roman" w:hAnsi="Times New Roman" w:cs="Times New Roman"/>
          <w:sz w:val="28"/>
          <w:szCs w:val="28"/>
        </w:rPr>
      </w:pPr>
      <w:bookmarkStart w:id="6" w:name="st14"/>
      <w:bookmarkEnd w:id="6"/>
      <w:r w:rsidRPr="008B39B5">
        <w:rPr>
          <w:rFonts w:ascii="Times New Roman" w:hAnsi="Times New Roman" w:cs="Times New Roman"/>
          <w:sz w:val="28"/>
          <w:szCs w:val="28"/>
        </w:rPr>
        <w:t>Інвестиційні сертифікати</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Інвестиційний сертифікат - цінний папір, який розміщується інвестиційним фондом, інвестиційною компанією, компанією з управління активами пайового інвестиційного фонду та посвідчує право власності інвестора на частку в інвестиційному фонді, взаємному фонді інвестиційної компанії та пайовому інвестиційному фонді.</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Емітентом інвестиційних сертифікатів виступає інвестиційний фонд, інвестиційна компанія або компанія з управління активами пайового інвестиційного фонду.</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Кількість проголошених інвестиційних сертифікатів пайового інвестиційного фонду зазначається у проспекті емісії.</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Строк розміщення інвестиційних сертифікатів відкритого та інтервального пайових інвестиційних фондів не обмежується.</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Інвестиційні сертифікати можуть надавати його власнику право на отримання доходу у вигляді дивідендів. Дивіденди за інвестиційними сертифікатами відкритого та інтервального пайового інвестиційних фондів не нараховуються і не сплачуються.</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Розміщення похідних (деривативів) цінних паперів, базовим активом яких є право на отримання інвестиційних сертифікатів, не допускається.</w:t>
      </w:r>
    </w:p>
    <w:p w:rsidR="00903646" w:rsidRPr="008B39B5" w:rsidRDefault="00903646" w:rsidP="008B39B5">
      <w:pPr>
        <w:spacing w:line="360" w:lineRule="auto"/>
        <w:jc w:val="both"/>
        <w:rPr>
          <w:rFonts w:ascii="Times New Roman" w:hAnsi="Times New Roman" w:cs="Times New Roman"/>
          <w:sz w:val="28"/>
          <w:szCs w:val="28"/>
        </w:rPr>
      </w:pPr>
      <w:bookmarkStart w:id="7" w:name="st15"/>
      <w:bookmarkEnd w:id="7"/>
      <w:r w:rsidRPr="008B39B5">
        <w:rPr>
          <w:rFonts w:ascii="Times New Roman" w:hAnsi="Times New Roman" w:cs="Times New Roman"/>
          <w:sz w:val="28"/>
          <w:szCs w:val="28"/>
        </w:rPr>
        <w:t>Ощадні (депозитні) сертифікати</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Ощадний (депозитний) сертифікат</w:t>
      </w:r>
      <w:r w:rsidR="00C10D81" w:rsidRPr="008B39B5">
        <w:rPr>
          <w:rFonts w:ascii="Times New Roman" w:hAnsi="Times New Roman" w:cs="Times New Roman"/>
          <w:sz w:val="28"/>
          <w:szCs w:val="28"/>
        </w:rPr>
        <w:t xml:space="preserve"> –</w:t>
      </w:r>
      <w:r w:rsidRPr="008B39B5">
        <w:rPr>
          <w:rFonts w:ascii="Times New Roman" w:hAnsi="Times New Roman" w:cs="Times New Roman"/>
          <w:sz w:val="28"/>
          <w:szCs w:val="28"/>
        </w:rPr>
        <w:t xml:space="preserve"> цінний папір, який підтверджує суму вкладу, внесеного у банк, і права вкладника (власника сертифіката) на одержання зі спливом встановленого строку суми вкладу та процентів, встановлених сертифікатом, у банку, який його видав.</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 xml:space="preserve">Ощадні (депозитні) сертифікати розміщуються на певний строк (під відсотки, передбачені умовами їх розміщення). </w:t>
      </w:r>
      <w:r w:rsidR="00C10D81" w:rsidRPr="008B39B5">
        <w:rPr>
          <w:rFonts w:ascii="Times New Roman" w:hAnsi="Times New Roman" w:cs="Times New Roman"/>
          <w:sz w:val="28"/>
          <w:szCs w:val="28"/>
        </w:rPr>
        <w:t>М</w:t>
      </w:r>
      <w:r w:rsidRPr="008B39B5">
        <w:rPr>
          <w:rFonts w:ascii="Times New Roman" w:hAnsi="Times New Roman" w:cs="Times New Roman"/>
          <w:sz w:val="28"/>
          <w:szCs w:val="28"/>
        </w:rPr>
        <w:t xml:space="preserve">ожуть бути іменними або </w:t>
      </w:r>
      <w:r w:rsidR="00C10D81" w:rsidRPr="008B39B5">
        <w:rPr>
          <w:rFonts w:ascii="Times New Roman" w:hAnsi="Times New Roman" w:cs="Times New Roman"/>
          <w:sz w:val="28"/>
          <w:szCs w:val="28"/>
        </w:rPr>
        <w:t>на пред'явника.</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Доход за ощадними (депозитними) сертифікатами виплачується під час пред'явлення їх для оплати в банк, що розмістив ці сертифікати.</w:t>
      </w:r>
    </w:p>
    <w:p w:rsidR="00912D81"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У разі дострокового пред'явлення ощадного (депозитного) сертифіката до оплати банк виплачує суму вкладу та відсотки (за вкладами на вимогу), якщо умовами випуску сертифіката не передбачено інший розмір відсотків.</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Вексель</w:t>
      </w:r>
      <w:bookmarkStart w:id="8" w:name="st16"/>
      <w:bookmarkEnd w:id="8"/>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Вексель - цінний папір, який посвідчує безумовне грошове зобов'язання векселедавця або його наказ третій особі сплатити після настання строку платежу визначену суму власнику векселя (векселедержателю).</w:t>
      </w:r>
    </w:p>
    <w:p w:rsidR="00903646" w:rsidRPr="008B39B5" w:rsidRDefault="00903646"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Векселі можуть бути прості або переказні та існують виключно у документарній формі.</w:t>
      </w:r>
    </w:p>
    <w:p w:rsidR="00912D81" w:rsidRPr="008B39B5" w:rsidRDefault="00912D81" w:rsidP="008B39B5">
      <w:pPr>
        <w:spacing w:line="360" w:lineRule="auto"/>
        <w:jc w:val="both"/>
        <w:rPr>
          <w:rFonts w:ascii="Times New Roman" w:hAnsi="Times New Roman" w:cs="Times New Roman"/>
          <w:sz w:val="28"/>
          <w:szCs w:val="28"/>
        </w:rPr>
      </w:pPr>
      <w:bookmarkStart w:id="9" w:name="st17"/>
      <w:bookmarkEnd w:id="9"/>
      <w:r w:rsidRPr="008B39B5">
        <w:rPr>
          <w:rFonts w:ascii="Times New Roman" w:hAnsi="Times New Roman" w:cs="Times New Roman"/>
          <w:sz w:val="28"/>
          <w:szCs w:val="28"/>
        </w:rPr>
        <w:t>І</w:t>
      </w:r>
      <w:r w:rsidR="00903646" w:rsidRPr="008B39B5">
        <w:rPr>
          <w:rFonts w:ascii="Times New Roman" w:hAnsi="Times New Roman" w:cs="Times New Roman"/>
          <w:sz w:val="28"/>
          <w:szCs w:val="28"/>
        </w:rPr>
        <w:t>потечн</w:t>
      </w:r>
      <w:r w:rsidRPr="008B39B5">
        <w:rPr>
          <w:rFonts w:ascii="Times New Roman" w:hAnsi="Times New Roman" w:cs="Times New Roman"/>
          <w:sz w:val="28"/>
          <w:szCs w:val="28"/>
        </w:rPr>
        <w:t>і</w:t>
      </w:r>
      <w:r w:rsidR="00903646" w:rsidRPr="008B39B5">
        <w:rPr>
          <w:rFonts w:ascii="Times New Roman" w:hAnsi="Times New Roman" w:cs="Times New Roman"/>
          <w:sz w:val="28"/>
          <w:szCs w:val="28"/>
        </w:rPr>
        <w:t xml:space="preserve"> сертифікат</w:t>
      </w:r>
      <w:r w:rsidRPr="008B39B5">
        <w:rPr>
          <w:rFonts w:ascii="Times New Roman" w:hAnsi="Times New Roman" w:cs="Times New Roman"/>
          <w:sz w:val="28"/>
          <w:szCs w:val="28"/>
        </w:rPr>
        <w:t xml:space="preserve">и – </w:t>
      </w:r>
      <w:r w:rsidR="004F447F" w:rsidRPr="008B39B5">
        <w:rPr>
          <w:rStyle w:val="dbody"/>
          <w:rFonts w:ascii="Times New Roman" w:hAnsi="Times New Roman" w:cs="Times New Roman"/>
          <w:sz w:val="28"/>
          <w:szCs w:val="28"/>
        </w:rPr>
        <w:t>іпотечний цінний папір, забезпечений іпотечними активами або іпотеками</w:t>
      </w:r>
      <w:r w:rsidR="00FA365D">
        <w:rPr>
          <w:rStyle w:val="dbody"/>
          <w:rFonts w:ascii="Times New Roman" w:hAnsi="Times New Roman" w:cs="Times New Roman"/>
          <w:sz w:val="28"/>
          <w:szCs w:val="28"/>
        </w:rPr>
        <w:t>.</w:t>
      </w:r>
    </w:p>
    <w:p w:rsidR="00912D81" w:rsidRPr="008B39B5" w:rsidRDefault="00FA365D" w:rsidP="008B39B5">
      <w:pPr>
        <w:spacing w:line="360" w:lineRule="auto"/>
        <w:jc w:val="both"/>
        <w:rPr>
          <w:rFonts w:ascii="Times New Roman" w:hAnsi="Times New Roman" w:cs="Times New Roman"/>
          <w:sz w:val="28"/>
          <w:szCs w:val="28"/>
        </w:rPr>
      </w:pPr>
      <w:r>
        <w:rPr>
          <w:rFonts w:ascii="Times New Roman" w:hAnsi="Times New Roman" w:cs="Times New Roman"/>
          <w:sz w:val="28"/>
          <w:szCs w:val="28"/>
        </w:rPr>
        <w:t>І</w:t>
      </w:r>
      <w:r w:rsidR="00903646" w:rsidRPr="008B39B5">
        <w:rPr>
          <w:rFonts w:ascii="Times New Roman" w:hAnsi="Times New Roman" w:cs="Times New Roman"/>
          <w:sz w:val="28"/>
          <w:szCs w:val="28"/>
        </w:rPr>
        <w:t>потечн</w:t>
      </w:r>
      <w:r w:rsidR="00912D81" w:rsidRPr="008B39B5">
        <w:rPr>
          <w:rFonts w:ascii="Times New Roman" w:hAnsi="Times New Roman" w:cs="Times New Roman"/>
          <w:sz w:val="28"/>
          <w:szCs w:val="28"/>
        </w:rPr>
        <w:t>і</w:t>
      </w:r>
      <w:r w:rsidR="00903646" w:rsidRPr="008B39B5">
        <w:rPr>
          <w:rFonts w:ascii="Times New Roman" w:hAnsi="Times New Roman" w:cs="Times New Roman"/>
          <w:sz w:val="28"/>
          <w:szCs w:val="28"/>
        </w:rPr>
        <w:t xml:space="preserve"> облігаці</w:t>
      </w:r>
      <w:r w:rsidR="00912D81" w:rsidRPr="008B39B5">
        <w:rPr>
          <w:rFonts w:ascii="Times New Roman" w:hAnsi="Times New Roman" w:cs="Times New Roman"/>
          <w:sz w:val="28"/>
          <w:szCs w:val="28"/>
        </w:rPr>
        <w:t>ї –</w:t>
      </w:r>
      <w:r w:rsidR="004F447F" w:rsidRPr="008B39B5">
        <w:rPr>
          <w:rFonts w:ascii="Times New Roman" w:hAnsi="Times New Roman" w:cs="Times New Roman"/>
          <w:sz w:val="28"/>
          <w:szCs w:val="28"/>
        </w:rPr>
        <w:t xml:space="preserve"> </w:t>
      </w:r>
      <w:r w:rsidR="004F447F" w:rsidRPr="008B39B5">
        <w:rPr>
          <w:rStyle w:val="dbody"/>
          <w:rFonts w:ascii="Times New Roman" w:hAnsi="Times New Roman" w:cs="Times New Roman"/>
          <w:sz w:val="28"/>
          <w:szCs w:val="28"/>
        </w:rPr>
        <w:t>облігації, виконання зобов'язань емітента за якими забезпечене іпотечним покриттям у порядку, встановленому Законом.</w:t>
      </w:r>
      <w:r w:rsidR="00FD6503" w:rsidRPr="008B39B5">
        <w:rPr>
          <w:rStyle w:val="dbody"/>
          <w:rFonts w:ascii="Times New Roman" w:hAnsi="Times New Roman" w:cs="Times New Roman"/>
          <w:sz w:val="28"/>
          <w:szCs w:val="28"/>
        </w:rPr>
        <w:t xml:space="preserve"> </w:t>
      </w:r>
      <w:r w:rsidR="004F447F" w:rsidRPr="008B39B5">
        <w:rPr>
          <w:rStyle w:val="dbody"/>
          <w:rFonts w:ascii="Times New Roman" w:hAnsi="Times New Roman" w:cs="Times New Roman"/>
          <w:sz w:val="28"/>
          <w:szCs w:val="28"/>
        </w:rPr>
        <w:t>Іпотечні облігації є іменними цінними паперами. Іпотечна облігація засвідчує внесення грошових коштів її власником і підтверджує зобов'язання емітента відшкодувати йому номінальну вартість цієї облігації та грошового доходу в порядку, встановленому цим Законом та проспектом емісії, а в разі невиконання емітентом зобов'язань за іпотечною облігацією надає її власнику право задовольнити свою вимогу за рахунок іпотечного покриття.</w:t>
      </w:r>
    </w:p>
    <w:p w:rsidR="00FA365D" w:rsidRPr="00FA365D" w:rsidRDefault="004F447F" w:rsidP="00FA365D">
      <w:pPr>
        <w:spacing w:line="360" w:lineRule="auto"/>
        <w:jc w:val="both"/>
        <w:rPr>
          <w:rStyle w:val="dbody"/>
          <w:rFonts w:ascii="Times New Roman" w:hAnsi="Times New Roman" w:cs="Times New Roman"/>
          <w:sz w:val="28"/>
          <w:szCs w:val="28"/>
        </w:rPr>
      </w:pPr>
      <w:r w:rsidRPr="008B39B5">
        <w:rPr>
          <w:rStyle w:val="dbody"/>
          <w:rFonts w:ascii="Times New Roman" w:hAnsi="Times New Roman" w:cs="Times New Roman"/>
          <w:sz w:val="28"/>
          <w:szCs w:val="28"/>
        </w:rPr>
        <w:t xml:space="preserve">Приватизаційні цінні папери </w:t>
      </w:r>
      <w:r w:rsidR="00FD6503" w:rsidRPr="008B39B5">
        <w:rPr>
          <w:rStyle w:val="dbody"/>
          <w:rFonts w:ascii="Times New Roman" w:hAnsi="Times New Roman" w:cs="Times New Roman"/>
          <w:sz w:val="28"/>
          <w:szCs w:val="28"/>
          <w:lang w:val="ru-RU"/>
        </w:rPr>
        <w:t>–</w:t>
      </w:r>
      <w:r w:rsidRPr="008B39B5">
        <w:rPr>
          <w:rStyle w:val="dbody"/>
          <w:rFonts w:ascii="Times New Roman" w:hAnsi="Times New Roman" w:cs="Times New Roman"/>
          <w:sz w:val="28"/>
          <w:szCs w:val="28"/>
        </w:rPr>
        <w:t xml:space="preserve"> цінні папери, які посвідчують право власника на безоплатне одержання у процесі приватизації частки майна </w:t>
      </w:r>
      <w:r w:rsidRPr="00FA365D">
        <w:rPr>
          <w:rStyle w:val="dbody"/>
          <w:rFonts w:ascii="Times New Roman" w:hAnsi="Times New Roman" w:cs="Times New Roman"/>
          <w:sz w:val="28"/>
          <w:szCs w:val="28"/>
        </w:rPr>
        <w:t>державних підприємств, державного житлового фонду, земельного фонду</w:t>
      </w:r>
      <w:r w:rsidR="000E1D3F" w:rsidRPr="00FA365D">
        <w:rPr>
          <w:rStyle w:val="dbody"/>
          <w:rFonts w:ascii="Times New Roman" w:hAnsi="Times New Roman" w:cs="Times New Roman"/>
          <w:sz w:val="28"/>
          <w:szCs w:val="28"/>
        </w:rPr>
        <w:t>;</w:t>
      </w:r>
      <w:r w:rsidR="00FA365D">
        <w:rPr>
          <w:rStyle w:val="dbody"/>
          <w:rFonts w:ascii="Times New Roman" w:hAnsi="Times New Roman" w:cs="Times New Roman"/>
          <w:sz w:val="28"/>
          <w:szCs w:val="28"/>
        </w:rPr>
        <w:t xml:space="preserve"> </w:t>
      </w:r>
      <w:r w:rsidR="000E1D3F" w:rsidRPr="00FA365D">
        <w:rPr>
          <w:rFonts w:ascii="Times New Roman" w:hAnsi="Times New Roman" w:cs="Times New Roman"/>
          <w:sz w:val="28"/>
          <w:szCs w:val="28"/>
        </w:rPr>
        <w:t>п</w:t>
      </w:r>
      <w:r w:rsidR="00903646" w:rsidRPr="00FA365D">
        <w:rPr>
          <w:rFonts w:ascii="Times New Roman" w:hAnsi="Times New Roman" w:cs="Times New Roman"/>
          <w:sz w:val="28"/>
          <w:szCs w:val="28"/>
        </w:rPr>
        <w:t>охідн</w:t>
      </w:r>
      <w:r w:rsidR="00912D81" w:rsidRPr="00FA365D">
        <w:rPr>
          <w:rFonts w:ascii="Times New Roman" w:hAnsi="Times New Roman" w:cs="Times New Roman"/>
          <w:sz w:val="28"/>
          <w:szCs w:val="28"/>
        </w:rPr>
        <w:t xml:space="preserve">і цінні папери – </w:t>
      </w:r>
      <w:r w:rsidR="00880FB2" w:rsidRPr="00FA365D">
        <w:rPr>
          <w:rStyle w:val="dbody"/>
          <w:rFonts w:ascii="Times New Roman" w:hAnsi="Times New Roman" w:cs="Times New Roman"/>
          <w:sz w:val="28"/>
          <w:szCs w:val="28"/>
        </w:rPr>
        <w:t>цінні папери, механізм випуску та обігу яких пов'язаний з правом на придбання чи продаж протягом терміну, визначеного договором (контрактом), цінних паперів, інших фінансових та/або товарних ресурсів.</w:t>
      </w:r>
    </w:p>
    <w:p w:rsidR="00FA365D" w:rsidRPr="00FA365D" w:rsidRDefault="00FA365D" w:rsidP="00FA365D">
      <w:pPr>
        <w:spacing w:line="360" w:lineRule="auto"/>
        <w:jc w:val="both"/>
        <w:rPr>
          <w:rStyle w:val="dbody"/>
          <w:rFonts w:ascii="Times New Roman" w:hAnsi="Times New Roman" w:cs="Times New Roman"/>
          <w:sz w:val="28"/>
          <w:szCs w:val="28"/>
        </w:rPr>
      </w:pPr>
    </w:p>
    <w:p w:rsidR="00972A3F" w:rsidRDefault="00FA365D" w:rsidP="00FA365D">
      <w:pPr>
        <w:spacing w:line="360" w:lineRule="auto"/>
        <w:jc w:val="both"/>
        <w:rPr>
          <w:rFonts w:ascii="Times New Roman" w:hAnsi="Times New Roman" w:cs="Times New Roman"/>
          <w:sz w:val="28"/>
          <w:szCs w:val="28"/>
        </w:rPr>
      </w:pPr>
      <w:r w:rsidRPr="00FA365D">
        <w:rPr>
          <w:rFonts w:ascii="Times New Roman" w:hAnsi="Times New Roman" w:cs="Times New Roman"/>
          <w:sz w:val="28"/>
          <w:szCs w:val="28"/>
        </w:rPr>
        <w:t>3.</w:t>
      </w:r>
      <w:r>
        <w:rPr>
          <w:rFonts w:ascii="Times New Roman" w:hAnsi="Times New Roman" w:cs="Times New Roman"/>
          <w:sz w:val="28"/>
          <w:szCs w:val="28"/>
        </w:rPr>
        <w:t xml:space="preserve"> </w:t>
      </w:r>
      <w:r w:rsidR="00972A3F" w:rsidRPr="00FA365D">
        <w:rPr>
          <w:rFonts w:ascii="Times New Roman" w:hAnsi="Times New Roman" w:cs="Times New Roman"/>
          <w:sz w:val="28"/>
          <w:szCs w:val="28"/>
        </w:rPr>
        <w:t>Формування ринкової вартості цінних паперів</w:t>
      </w:r>
    </w:p>
    <w:p w:rsidR="00FA365D" w:rsidRPr="00FA365D" w:rsidRDefault="00FA365D" w:rsidP="00FA365D">
      <w:pPr>
        <w:spacing w:line="360" w:lineRule="auto"/>
        <w:jc w:val="both"/>
        <w:rPr>
          <w:rFonts w:ascii="Times New Roman" w:hAnsi="Times New Roman" w:cs="Times New Roman"/>
          <w:sz w:val="28"/>
          <w:szCs w:val="28"/>
        </w:rPr>
      </w:pPr>
    </w:p>
    <w:p w:rsidR="00972A3F" w:rsidRPr="008B39B5" w:rsidRDefault="00972A3F" w:rsidP="008B39B5">
      <w:pPr>
        <w:spacing w:line="360" w:lineRule="auto"/>
        <w:jc w:val="both"/>
        <w:rPr>
          <w:rFonts w:ascii="Times New Roman" w:hAnsi="Times New Roman" w:cs="Times New Roman"/>
          <w:sz w:val="28"/>
          <w:szCs w:val="28"/>
        </w:rPr>
      </w:pPr>
      <w:r w:rsidRPr="00FA365D">
        <w:rPr>
          <w:rFonts w:ascii="Times New Roman" w:hAnsi="Times New Roman" w:cs="Times New Roman"/>
          <w:sz w:val="28"/>
          <w:szCs w:val="28"/>
        </w:rPr>
        <w:t>Цінні папери мають номінальну і ринкову вартість або ціну. Номінальною (особовою) називають вартість, зазначену на цінному папері. Але купівля-продаж цінних паперів провадиться не за номіналом, а за цінами, що складаються на ринку цінних паперів</w:t>
      </w:r>
      <w:r w:rsidRPr="008B39B5">
        <w:rPr>
          <w:rFonts w:ascii="Times New Roman" w:hAnsi="Times New Roman" w:cs="Times New Roman"/>
          <w:sz w:val="28"/>
          <w:szCs w:val="28"/>
        </w:rPr>
        <w:t>. Ціна, за якою папери продаються і купуються на ринку, називається ринковою ціною або курсом цінних паперів.</w:t>
      </w:r>
    </w:p>
    <w:p w:rsidR="00972A3F" w:rsidRPr="008B39B5" w:rsidRDefault="00972A3F"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Курсова вартість цінних паперів постійно коливається залежно від зміни співвідношень між попитом на ті або інші цінні папери та їх пропозицією на ринку. У свою чергу, попит і пропозиція залежать від очікуваної зміни рівня позичкового процента, а за звичайними акціями – і доходів, які визначаються, насамперед, перспективами розвитку корпорації, що випустила акції, а також станом політичної обстановки, загальною економічною ситуацією в країні.</w:t>
      </w:r>
    </w:p>
    <w:p w:rsidR="00972A3F" w:rsidRPr="008B39B5" w:rsidRDefault="00972A3F"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На курс цінних паперів також впливає стан державних фінансів і грошового обігу. Інфляційне знецінення грошей призводить до зменшення попиту на цінні папери з фіксованим доходом, і водночас зростає попит на звичайні акції, облігації, що конвертуються.</w:t>
      </w:r>
    </w:p>
    <w:p w:rsidR="00972A3F" w:rsidRPr="008B39B5" w:rsidRDefault="00972A3F"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Формування курсової вартості акцій</w:t>
      </w:r>
    </w:p>
    <w:p w:rsidR="00972A3F" w:rsidRPr="008B39B5" w:rsidRDefault="00972A3F" w:rsidP="008B39B5">
      <w:pPr>
        <w:pStyle w:val="a8"/>
        <w:spacing w:before="0" w:beforeAutospacing="0" w:after="0" w:afterAutospacing="0" w:line="360" w:lineRule="auto"/>
        <w:ind w:firstLine="709"/>
        <w:jc w:val="both"/>
        <w:rPr>
          <w:sz w:val="28"/>
          <w:szCs w:val="28"/>
          <w:lang w:val="uk-UA"/>
        </w:rPr>
      </w:pPr>
      <w:r w:rsidRPr="008B39B5">
        <w:rPr>
          <w:sz w:val="28"/>
          <w:szCs w:val="28"/>
          <w:lang w:val="uk-UA"/>
        </w:rPr>
        <w:t>Прибуток за акціями сплачується у вигляді дивіденду, під яким розуміється частина чистого прибутку акціонерного товариства, що підлягає розподілу між акціонерами.</w:t>
      </w:r>
    </w:p>
    <w:p w:rsidR="00972A3F" w:rsidRDefault="00972A3F" w:rsidP="008B39B5">
      <w:pPr>
        <w:pStyle w:val="a8"/>
        <w:spacing w:before="0" w:beforeAutospacing="0" w:after="0" w:afterAutospacing="0" w:line="360" w:lineRule="auto"/>
        <w:ind w:firstLine="709"/>
        <w:jc w:val="both"/>
        <w:rPr>
          <w:sz w:val="28"/>
          <w:szCs w:val="28"/>
          <w:lang w:val="uk-UA"/>
        </w:rPr>
      </w:pPr>
      <w:r w:rsidRPr="008B39B5">
        <w:rPr>
          <w:sz w:val="28"/>
          <w:szCs w:val="28"/>
          <w:lang w:val="uk-UA"/>
        </w:rPr>
        <w:t>Дивіденд за привілейованими акціями, як правило, оголошується у відсотках від номіналу; його сума на одну акцію буде дорівнювати:</w:t>
      </w:r>
    </w:p>
    <w:p w:rsidR="00FA365D" w:rsidRPr="008B39B5" w:rsidRDefault="00FA365D" w:rsidP="008B39B5">
      <w:pPr>
        <w:pStyle w:val="a8"/>
        <w:spacing w:before="0" w:beforeAutospacing="0" w:after="0" w:afterAutospacing="0" w:line="360" w:lineRule="auto"/>
        <w:ind w:firstLine="709"/>
        <w:jc w:val="both"/>
        <w:rPr>
          <w:sz w:val="28"/>
          <w:szCs w:val="28"/>
          <w:lang w:val="uk-UA"/>
        </w:rPr>
      </w:pPr>
    </w:p>
    <w:p w:rsidR="00FA365D" w:rsidRDefault="00972A3F" w:rsidP="008B39B5">
      <w:pPr>
        <w:pStyle w:val="a8"/>
        <w:spacing w:before="0" w:beforeAutospacing="0" w:after="0" w:afterAutospacing="0" w:line="360" w:lineRule="auto"/>
        <w:ind w:firstLine="709"/>
        <w:jc w:val="both"/>
        <w:rPr>
          <w:sz w:val="28"/>
          <w:szCs w:val="28"/>
          <w:lang w:val="uk-UA"/>
        </w:rPr>
      </w:pPr>
      <w:r w:rsidRPr="008B39B5">
        <w:rPr>
          <w:sz w:val="28"/>
          <w:szCs w:val="28"/>
        </w:rPr>
        <w:t>D</w:t>
      </w:r>
      <w:r w:rsidRPr="008B39B5">
        <w:rPr>
          <w:sz w:val="28"/>
          <w:szCs w:val="28"/>
          <w:vertAlign w:val="subscript"/>
          <w:lang w:val="uk-UA"/>
        </w:rPr>
        <w:t>ПА</w:t>
      </w:r>
      <w:r w:rsidRPr="008B39B5">
        <w:rPr>
          <w:sz w:val="28"/>
          <w:szCs w:val="28"/>
          <w:lang w:val="uk-UA"/>
        </w:rPr>
        <w:t xml:space="preserve"> = </w:t>
      </w:r>
      <w:r w:rsidRPr="008B39B5">
        <w:rPr>
          <w:sz w:val="28"/>
          <w:szCs w:val="28"/>
        </w:rPr>
        <w:t>N</w:t>
      </w:r>
      <w:r w:rsidRPr="008B39B5">
        <w:rPr>
          <w:sz w:val="28"/>
          <w:szCs w:val="28"/>
          <w:lang w:val="uk-UA"/>
        </w:rPr>
        <w:t xml:space="preserve"> * </w:t>
      </w:r>
      <w:r w:rsidRPr="008B39B5">
        <w:rPr>
          <w:sz w:val="28"/>
          <w:szCs w:val="28"/>
        </w:rPr>
        <w:t>F</w:t>
      </w:r>
      <w:r w:rsidRPr="008B39B5">
        <w:rPr>
          <w:sz w:val="28"/>
          <w:szCs w:val="28"/>
          <w:lang w:val="uk-UA"/>
        </w:rPr>
        <w:t xml:space="preserve"> </w:t>
      </w:r>
    </w:p>
    <w:p w:rsidR="00FA365D" w:rsidRDefault="00FA365D" w:rsidP="008B39B5">
      <w:pPr>
        <w:pStyle w:val="a8"/>
        <w:spacing w:before="0" w:beforeAutospacing="0" w:after="0" w:afterAutospacing="0" w:line="360" w:lineRule="auto"/>
        <w:ind w:firstLine="709"/>
        <w:jc w:val="both"/>
        <w:rPr>
          <w:sz w:val="28"/>
          <w:szCs w:val="28"/>
          <w:lang w:val="uk-UA"/>
        </w:rPr>
      </w:pPr>
    </w:p>
    <w:p w:rsidR="00972A3F" w:rsidRPr="008B39B5" w:rsidRDefault="00FA365D" w:rsidP="008B39B5">
      <w:pPr>
        <w:pStyle w:val="a8"/>
        <w:spacing w:before="0" w:beforeAutospacing="0" w:after="0" w:afterAutospacing="0" w:line="360" w:lineRule="auto"/>
        <w:ind w:firstLine="709"/>
        <w:jc w:val="both"/>
        <w:rPr>
          <w:sz w:val="28"/>
          <w:szCs w:val="28"/>
          <w:lang w:val="uk-UA"/>
        </w:rPr>
      </w:pPr>
      <w:r w:rsidRPr="008B39B5">
        <w:rPr>
          <w:sz w:val="28"/>
          <w:szCs w:val="28"/>
          <w:lang w:val="uk-UA"/>
        </w:rPr>
        <w:t>Д</w:t>
      </w:r>
      <w:r w:rsidR="00972A3F" w:rsidRPr="008B39B5">
        <w:rPr>
          <w:sz w:val="28"/>
          <w:szCs w:val="28"/>
          <w:lang w:val="uk-UA"/>
        </w:rPr>
        <w:t>е</w:t>
      </w:r>
      <w:r>
        <w:rPr>
          <w:sz w:val="28"/>
          <w:szCs w:val="28"/>
          <w:lang w:val="uk-UA"/>
        </w:rPr>
        <w:t xml:space="preserve"> </w:t>
      </w:r>
      <w:r w:rsidR="00972A3F" w:rsidRPr="008B39B5">
        <w:rPr>
          <w:sz w:val="28"/>
          <w:szCs w:val="28"/>
        </w:rPr>
        <w:t>N</w:t>
      </w:r>
      <w:r w:rsidR="00972A3F" w:rsidRPr="008B39B5">
        <w:rPr>
          <w:sz w:val="28"/>
          <w:szCs w:val="28"/>
          <w:lang w:val="uk-UA"/>
        </w:rPr>
        <w:t xml:space="preserve"> – номінал привілейованої акції ;</w:t>
      </w:r>
    </w:p>
    <w:p w:rsidR="00972A3F" w:rsidRPr="008B39B5" w:rsidRDefault="00972A3F" w:rsidP="008B39B5">
      <w:pPr>
        <w:pStyle w:val="a8"/>
        <w:spacing w:before="0" w:beforeAutospacing="0" w:after="0" w:afterAutospacing="0" w:line="360" w:lineRule="auto"/>
        <w:ind w:firstLine="709"/>
        <w:jc w:val="both"/>
        <w:rPr>
          <w:sz w:val="28"/>
          <w:szCs w:val="28"/>
          <w:lang w:val="uk-UA"/>
        </w:rPr>
      </w:pPr>
      <w:r w:rsidRPr="008B39B5">
        <w:rPr>
          <w:sz w:val="28"/>
          <w:szCs w:val="28"/>
        </w:rPr>
        <w:t>F</w:t>
      </w:r>
      <w:r w:rsidRPr="008B39B5">
        <w:rPr>
          <w:sz w:val="28"/>
          <w:szCs w:val="28"/>
          <w:lang w:val="uk-UA"/>
        </w:rPr>
        <w:t xml:space="preserve"> – ставка сплачуваних відсотків у відносних одиницях.</w:t>
      </w:r>
    </w:p>
    <w:p w:rsidR="00972B7F" w:rsidRPr="008B39B5" w:rsidRDefault="00972A3F" w:rsidP="008B39B5">
      <w:pPr>
        <w:pStyle w:val="a8"/>
        <w:spacing w:before="0" w:beforeAutospacing="0" w:after="0" w:afterAutospacing="0" w:line="360" w:lineRule="auto"/>
        <w:ind w:firstLine="709"/>
        <w:jc w:val="both"/>
        <w:rPr>
          <w:sz w:val="28"/>
          <w:szCs w:val="28"/>
          <w:lang w:val="uk-UA"/>
        </w:rPr>
      </w:pPr>
      <w:r w:rsidRPr="008B39B5">
        <w:rPr>
          <w:sz w:val="28"/>
          <w:szCs w:val="28"/>
          <w:lang w:val="uk-UA"/>
        </w:rPr>
        <w:t xml:space="preserve">Дивіденд за звичайними акціями залежить від результатів діяльності акціонерного товариства і нараховується за рішенням зборів акціонерів (проміжкові дивіденди можуть нараховуватися за рішенням ради директорів акціонерного товариства). Дивіденд за звичайними акціями за минулий рік може не виплачуватися (наприклад, у випадку збитків або направлення отриманих прибутків за рішенням зборів акціонерів на розширення діяльності акціонерного товариства). </w:t>
      </w:r>
    </w:p>
    <w:p w:rsidR="00D81599" w:rsidRDefault="00D81599" w:rsidP="008B39B5">
      <w:pPr>
        <w:pStyle w:val="a8"/>
        <w:spacing w:before="0" w:beforeAutospacing="0" w:after="0" w:afterAutospacing="0" w:line="360" w:lineRule="auto"/>
        <w:ind w:firstLine="709"/>
        <w:jc w:val="both"/>
        <w:rPr>
          <w:sz w:val="28"/>
          <w:szCs w:val="28"/>
          <w:lang w:val="uk-UA"/>
        </w:rPr>
      </w:pPr>
      <w:r w:rsidRPr="008B39B5">
        <w:rPr>
          <w:sz w:val="28"/>
          <w:szCs w:val="28"/>
          <w:lang w:val="uk-UA"/>
        </w:rPr>
        <w:t>Курс акцій знаходиться в прямій залежності від розміру одержаного за ним дивіденду й у зворотній залежності від рівня позичкового (банківського) відсотка.</w:t>
      </w:r>
    </w:p>
    <w:p w:rsidR="00FA365D" w:rsidRPr="008B39B5" w:rsidRDefault="00FA365D" w:rsidP="008B39B5">
      <w:pPr>
        <w:pStyle w:val="a8"/>
        <w:spacing w:before="0" w:beforeAutospacing="0" w:after="0" w:afterAutospacing="0" w:line="360" w:lineRule="auto"/>
        <w:ind w:firstLine="709"/>
        <w:jc w:val="both"/>
        <w:rPr>
          <w:sz w:val="28"/>
          <w:szCs w:val="28"/>
          <w:lang w:val="uk-UA"/>
        </w:rPr>
      </w:pPr>
    </w:p>
    <w:p w:rsidR="00972B7F" w:rsidRPr="008B39B5" w:rsidRDefault="00D81599" w:rsidP="008B39B5">
      <w:pPr>
        <w:pStyle w:val="a8"/>
        <w:spacing w:before="0" w:beforeAutospacing="0" w:after="0" w:afterAutospacing="0" w:line="360" w:lineRule="auto"/>
        <w:ind w:firstLine="709"/>
        <w:jc w:val="both"/>
        <w:rPr>
          <w:rStyle w:val="a9"/>
          <w:i w:val="0"/>
          <w:iCs w:val="0"/>
          <w:sz w:val="28"/>
          <w:szCs w:val="28"/>
          <w:lang w:val="uk-UA"/>
        </w:rPr>
      </w:pPr>
      <w:r w:rsidRPr="008B39B5">
        <w:rPr>
          <w:rStyle w:val="a9"/>
          <w:i w:val="0"/>
          <w:iCs w:val="0"/>
          <w:sz w:val="28"/>
          <w:szCs w:val="28"/>
          <w:lang w:val="uk-UA"/>
        </w:rPr>
        <w:t>Курс акцій = Дивіденди / Банківський відсоток х 100</w:t>
      </w:r>
    </w:p>
    <w:p w:rsidR="00FA365D" w:rsidRDefault="00FA365D" w:rsidP="008B39B5">
      <w:pPr>
        <w:pStyle w:val="a8"/>
        <w:spacing w:before="0" w:beforeAutospacing="0" w:after="0" w:afterAutospacing="0" w:line="360" w:lineRule="auto"/>
        <w:ind w:firstLine="709"/>
        <w:jc w:val="both"/>
        <w:rPr>
          <w:sz w:val="28"/>
          <w:szCs w:val="28"/>
          <w:lang w:val="uk-UA"/>
        </w:rPr>
      </w:pPr>
    </w:p>
    <w:p w:rsidR="00FA365D" w:rsidRDefault="00D81599" w:rsidP="008B39B5">
      <w:pPr>
        <w:pStyle w:val="a8"/>
        <w:spacing w:before="0" w:beforeAutospacing="0" w:after="0" w:afterAutospacing="0" w:line="360" w:lineRule="auto"/>
        <w:ind w:firstLine="709"/>
        <w:jc w:val="both"/>
        <w:rPr>
          <w:sz w:val="28"/>
          <w:szCs w:val="28"/>
          <w:lang w:val="uk-UA"/>
        </w:rPr>
      </w:pPr>
      <w:r w:rsidRPr="008B39B5">
        <w:rPr>
          <w:sz w:val="28"/>
          <w:szCs w:val="28"/>
          <w:lang w:val="uk-UA"/>
        </w:rPr>
        <w:t>Балансова вартість акції, яка застосовується при лістингу акцій, визначається вартістю чистих активів компанії, що приходиться на одну оплачену акцію.</w:t>
      </w:r>
    </w:p>
    <w:p w:rsidR="00FA365D" w:rsidRDefault="00FA365D" w:rsidP="008B39B5">
      <w:pPr>
        <w:pStyle w:val="a8"/>
        <w:spacing w:before="0" w:beforeAutospacing="0" w:after="0" w:afterAutospacing="0" w:line="360" w:lineRule="auto"/>
        <w:ind w:firstLine="709"/>
        <w:jc w:val="both"/>
        <w:rPr>
          <w:rStyle w:val="a9"/>
          <w:i w:val="0"/>
          <w:iCs w:val="0"/>
          <w:sz w:val="28"/>
          <w:szCs w:val="28"/>
          <w:lang w:val="uk-UA"/>
        </w:rPr>
      </w:pPr>
      <w:r>
        <w:rPr>
          <w:sz w:val="28"/>
          <w:szCs w:val="28"/>
          <w:lang w:val="uk-UA"/>
        </w:rPr>
        <w:br w:type="page"/>
      </w:r>
      <w:r w:rsidR="00D81599" w:rsidRPr="008B39B5">
        <w:rPr>
          <w:rStyle w:val="a9"/>
          <w:i w:val="0"/>
          <w:iCs w:val="0"/>
          <w:sz w:val="28"/>
          <w:szCs w:val="28"/>
          <w:lang w:val="uk-UA"/>
        </w:rPr>
        <w:t>БВ</w:t>
      </w:r>
      <w:r w:rsidR="00972B7F" w:rsidRPr="008B39B5">
        <w:rPr>
          <w:rStyle w:val="a9"/>
          <w:i w:val="0"/>
          <w:iCs w:val="0"/>
          <w:sz w:val="28"/>
          <w:szCs w:val="28"/>
          <w:lang w:val="uk-UA"/>
        </w:rPr>
        <w:t xml:space="preserve"> </w:t>
      </w:r>
      <w:r w:rsidR="00D81599" w:rsidRPr="008B39B5">
        <w:rPr>
          <w:rStyle w:val="a9"/>
          <w:i w:val="0"/>
          <w:iCs w:val="0"/>
          <w:sz w:val="28"/>
          <w:szCs w:val="28"/>
          <w:lang w:val="uk-UA"/>
        </w:rPr>
        <w:t>=</w:t>
      </w:r>
      <w:r w:rsidR="00972B7F" w:rsidRPr="008B39B5">
        <w:rPr>
          <w:rStyle w:val="a9"/>
          <w:i w:val="0"/>
          <w:iCs w:val="0"/>
          <w:sz w:val="28"/>
          <w:szCs w:val="28"/>
          <w:lang w:val="uk-UA"/>
        </w:rPr>
        <w:t xml:space="preserve"> </w:t>
      </w:r>
      <w:r w:rsidR="00D81599" w:rsidRPr="008B39B5">
        <w:rPr>
          <w:rStyle w:val="a9"/>
          <w:i w:val="0"/>
          <w:iCs w:val="0"/>
          <w:sz w:val="28"/>
          <w:szCs w:val="28"/>
          <w:lang w:val="uk-UA"/>
        </w:rPr>
        <w:t>А / К</w:t>
      </w:r>
    </w:p>
    <w:p w:rsidR="00FA365D" w:rsidRDefault="00FA365D" w:rsidP="008B39B5">
      <w:pPr>
        <w:pStyle w:val="a8"/>
        <w:spacing w:before="0" w:beforeAutospacing="0" w:after="0" w:afterAutospacing="0" w:line="360" w:lineRule="auto"/>
        <w:ind w:firstLine="709"/>
        <w:jc w:val="both"/>
        <w:rPr>
          <w:rStyle w:val="a9"/>
          <w:i w:val="0"/>
          <w:iCs w:val="0"/>
          <w:sz w:val="28"/>
          <w:szCs w:val="28"/>
          <w:lang w:val="uk-UA"/>
        </w:rPr>
      </w:pPr>
    </w:p>
    <w:p w:rsidR="00972B7F" w:rsidRPr="008B39B5" w:rsidRDefault="00D81599" w:rsidP="008B39B5">
      <w:pPr>
        <w:pStyle w:val="a8"/>
        <w:spacing w:before="0" w:beforeAutospacing="0" w:after="0" w:afterAutospacing="0" w:line="360" w:lineRule="auto"/>
        <w:ind w:firstLine="709"/>
        <w:jc w:val="both"/>
        <w:rPr>
          <w:sz w:val="28"/>
          <w:szCs w:val="28"/>
          <w:lang w:val="uk-UA"/>
        </w:rPr>
      </w:pPr>
      <w:r w:rsidRPr="008B39B5">
        <w:rPr>
          <w:sz w:val="28"/>
          <w:szCs w:val="28"/>
          <w:lang w:val="uk-UA"/>
        </w:rPr>
        <w:t>де,</w:t>
      </w:r>
      <w:r w:rsidR="00FA365D">
        <w:rPr>
          <w:sz w:val="28"/>
          <w:szCs w:val="28"/>
          <w:lang w:val="uk-UA"/>
        </w:rPr>
        <w:t xml:space="preserve"> </w:t>
      </w:r>
      <w:r w:rsidRPr="008B39B5">
        <w:rPr>
          <w:sz w:val="28"/>
          <w:szCs w:val="28"/>
          <w:lang w:val="uk-UA"/>
        </w:rPr>
        <w:t xml:space="preserve">А - чисті активи акціонерної компанії, </w:t>
      </w:r>
    </w:p>
    <w:p w:rsidR="00D81599" w:rsidRPr="008B39B5" w:rsidRDefault="00D81599" w:rsidP="008B39B5">
      <w:pPr>
        <w:pStyle w:val="a8"/>
        <w:spacing w:before="0" w:beforeAutospacing="0" w:after="0" w:afterAutospacing="0" w:line="360" w:lineRule="auto"/>
        <w:ind w:firstLine="709"/>
        <w:jc w:val="both"/>
        <w:rPr>
          <w:sz w:val="28"/>
          <w:szCs w:val="28"/>
          <w:lang w:val="uk-UA"/>
        </w:rPr>
      </w:pPr>
      <w:r w:rsidRPr="008B39B5">
        <w:rPr>
          <w:sz w:val="28"/>
          <w:szCs w:val="28"/>
          <w:lang w:val="uk-UA"/>
        </w:rPr>
        <w:t xml:space="preserve">К - кількість оплачених акцій, шт. </w:t>
      </w:r>
    </w:p>
    <w:p w:rsidR="00D81599" w:rsidRPr="008B39B5" w:rsidRDefault="00D81599" w:rsidP="008B39B5">
      <w:pPr>
        <w:pStyle w:val="a8"/>
        <w:spacing w:before="0" w:beforeAutospacing="0" w:after="0" w:afterAutospacing="0" w:line="360" w:lineRule="auto"/>
        <w:ind w:firstLine="709"/>
        <w:jc w:val="both"/>
        <w:rPr>
          <w:sz w:val="28"/>
          <w:szCs w:val="28"/>
          <w:lang w:val="uk-UA"/>
        </w:rPr>
      </w:pPr>
      <w:r w:rsidRPr="008B39B5">
        <w:rPr>
          <w:sz w:val="28"/>
          <w:szCs w:val="28"/>
          <w:lang w:val="uk-UA"/>
        </w:rPr>
        <w:t>Ринкова ціна для акцій:</w:t>
      </w:r>
    </w:p>
    <w:p w:rsidR="00D81599" w:rsidRPr="008B39B5" w:rsidRDefault="00D81599" w:rsidP="008B39B5">
      <w:pPr>
        <w:pStyle w:val="a8"/>
        <w:spacing w:before="0" w:beforeAutospacing="0" w:after="0" w:afterAutospacing="0" w:line="360" w:lineRule="auto"/>
        <w:ind w:firstLine="709"/>
        <w:jc w:val="both"/>
        <w:rPr>
          <w:sz w:val="28"/>
          <w:szCs w:val="28"/>
          <w:lang w:val="uk-UA"/>
        </w:rPr>
      </w:pPr>
      <w:r w:rsidRPr="008B39B5">
        <w:rPr>
          <w:rStyle w:val="a9"/>
          <w:i w:val="0"/>
          <w:iCs w:val="0"/>
          <w:sz w:val="28"/>
          <w:szCs w:val="28"/>
          <w:lang w:val="uk-UA"/>
        </w:rPr>
        <w:t>Коефіцієнт виплат = сплачено дивідендів на 1 акцію /чистий дохід з розрахунку на 1 акцію</w:t>
      </w:r>
    </w:p>
    <w:p w:rsidR="00D81599" w:rsidRPr="008B39B5" w:rsidRDefault="00D81599" w:rsidP="008B39B5">
      <w:pPr>
        <w:pStyle w:val="a8"/>
        <w:spacing w:before="0" w:beforeAutospacing="0" w:after="0" w:afterAutospacing="0" w:line="360" w:lineRule="auto"/>
        <w:ind w:firstLine="709"/>
        <w:jc w:val="both"/>
        <w:rPr>
          <w:sz w:val="28"/>
          <w:szCs w:val="28"/>
          <w:lang w:val="uk-UA"/>
        </w:rPr>
      </w:pPr>
      <w:r w:rsidRPr="008B39B5">
        <w:rPr>
          <w:sz w:val="28"/>
          <w:szCs w:val="28"/>
          <w:lang w:val="uk-UA"/>
        </w:rPr>
        <w:t>Цей показник характеризує відсоток (частку) доходів розподілених серед акціонерів.</w:t>
      </w:r>
    </w:p>
    <w:p w:rsidR="002E54D2" w:rsidRPr="008B39B5" w:rsidRDefault="00D81599" w:rsidP="008B39B5">
      <w:pPr>
        <w:pStyle w:val="a8"/>
        <w:widowControl w:val="0"/>
        <w:spacing w:before="0" w:beforeAutospacing="0" w:after="0" w:afterAutospacing="0" w:line="360" w:lineRule="auto"/>
        <w:ind w:firstLine="709"/>
        <w:jc w:val="both"/>
        <w:rPr>
          <w:sz w:val="28"/>
          <w:szCs w:val="28"/>
          <w:lang w:val="uk-UA"/>
        </w:rPr>
      </w:pPr>
      <w:r w:rsidRPr="008B39B5">
        <w:rPr>
          <w:sz w:val="28"/>
          <w:szCs w:val="28"/>
          <w:lang w:val="uk-UA"/>
        </w:rPr>
        <w:t>Формування курсової вартості облігацій.</w:t>
      </w:r>
    </w:p>
    <w:p w:rsidR="00D81599" w:rsidRDefault="00D81599" w:rsidP="008B39B5">
      <w:pPr>
        <w:pStyle w:val="a8"/>
        <w:widowControl w:val="0"/>
        <w:spacing w:before="0" w:beforeAutospacing="0" w:after="0" w:afterAutospacing="0" w:line="360" w:lineRule="auto"/>
        <w:ind w:firstLine="709"/>
        <w:jc w:val="both"/>
        <w:rPr>
          <w:sz w:val="28"/>
          <w:szCs w:val="28"/>
          <w:lang w:val="uk-UA"/>
        </w:rPr>
      </w:pPr>
      <w:r w:rsidRPr="008B39B5">
        <w:rPr>
          <w:sz w:val="28"/>
          <w:szCs w:val="28"/>
          <w:lang w:val="uk-UA"/>
        </w:rPr>
        <w:t>При розрахунках прибутковості облігацій використовують поняття їхнього курсу, що визначається за формулою:</w:t>
      </w:r>
    </w:p>
    <w:p w:rsidR="00FA365D" w:rsidRPr="008B39B5" w:rsidRDefault="00FA365D" w:rsidP="008B39B5">
      <w:pPr>
        <w:pStyle w:val="a8"/>
        <w:widowControl w:val="0"/>
        <w:spacing w:before="0" w:beforeAutospacing="0" w:after="0" w:afterAutospacing="0" w:line="360" w:lineRule="auto"/>
        <w:ind w:firstLine="709"/>
        <w:jc w:val="both"/>
        <w:rPr>
          <w:sz w:val="28"/>
          <w:szCs w:val="28"/>
          <w:lang w:val="uk-UA"/>
        </w:rPr>
      </w:pPr>
    </w:p>
    <w:p w:rsidR="00FA365D" w:rsidRDefault="00D81599" w:rsidP="008B39B5">
      <w:pPr>
        <w:pStyle w:val="a8"/>
        <w:widowControl w:val="0"/>
        <w:spacing w:before="0" w:beforeAutospacing="0" w:after="0" w:afterAutospacing="0" w:line="360" w:lineRule="auto"/>
        <w:ind w:firstLine="709"/>
        <w:jc w:val="both"/>
        <w:rPr>
          <w:rStyle w:val="a9"/>
          <w:i w:val="0"/>
          <w:iCs w:val="0"/>
          <w:sz w:val="28"/>
          <w:szCs w:val="28"/>
          <w:lang w:val="uk-UA"/>
        </w:rPr>
      </w:pPr>
      <w:r w:rsidRPr="008B39B5">
        <w:rPr>
          <w:rStyle w:val="a9"/>
          <w:i w:val="0"/>
          <w:iCs w:val="0"/>
          <w:sz w:val="28"/>
          <w:szCs w:val="28"/>
          <w:lang w:val="uk-UA"/>
        </w:rPr>
        <w:t xml:space="preserve">Ko = </w:t>
      </w:r>
      <w:r w:rsidR="002E54D2" w:rsidRPr="008B39B5">
        <w:rPr>
          <w:rStyle w:val="a9"/>
          <w:i w:val="0"/>
          <w:iCs w:val="0"/>
          <w:sz w:val="28"/>
          <w:szCs w:val="28"/>
          <w:lang w:val="uk-UA"/>
        </w:rPr>
        <w:t xml:space="preserve">( </w:t>
      </w:r>
      <w:r w:rsidRPr="008B39B5">
        <w:rPr>
          <w:rStyle w:val="a9"/>
          <w:i w:val="0"/>
          <w:iCs w:val="0"/>
          <w:sz w:val="28"/>
          <w:szCs w:val="28"/>
          <w:lang w:val="uk-UA"/>
        </w:rPr>
        <w:t>P / N</w:t>
      </w:r>
      <w:r w:rsidR="002E54D2" w:rsidRPr="008B39B5">
        <w:rPr>
          <w:rStyle w:val="a9"/>
          <w:i w:val="0"/>
          <w:iCs w:val="0"/>
          <w:sz w:val="28"/>
          <w:szCs w:val="28"/>
          <w:lang w:val="uk-UA"/>
        </w:rPr>
        <w:t xml:space="preserve">) * </w:t>
      </w:r>
      <w:r w:rsidRPr="008B39B5">
        <w:rPr>
          <w:rStyle w:val="a9"/>
          <w:i w:val="0"/>
          <w:iCs w:val="0"/>
          <w:sz w:val="28"/>
          <w:szCs w:val="28"/>
          <w:lang w:val="uk-UA"/>
        </w:rPr>
        <w:t>100</w:t>
      </w:r>
    </w:p>
    <w:p w:rsidR="002E54D2" w:rsidRPr="008B39B5" w:rsidRDefault="00FA365D" w:rsidP="008B39B5">
      <w:pPr>
        <w:pStyle w:val="a8"/>
        <w:widowControl w:val="0"/>
        <w:spacing w:before="0" w:beforeAutospacing="0" w:after="0" w:afterAutospacing="0" w:line="360" w:lineRule="auto"/>
        <w:ind w:firstLine="709"/>
        <w:jc w:val="both"/>
        <w:rPr>
          <w:sz w:val="28"/>
          <w:szCs w:val="28"/>
          <w:lang w:val="uk-UA"/>
        </w:rPr>
      </w:pPr>
      <w:r w:rsidRPr="008B39B5">
        <w:rPr>
          <w:rStyle w:val="a9"/>
          <w:i w:val="0"/>
          <w:iCs w:val="0"/>
          <w:sz w:val="28"/>
          <w:szCs w:val="28"/>
          <w:lang w:val="uk-UA"/>
        </w:rPr>
        <w:t>Д</w:t>
      </w:r>
      <w:r w:rsidR="002E54D2" w:rsidRPr="008B39B5">
        <w:rPr>
          <w:rStyle w:val="a9"/>
          <w:i w:val="0"/>
          <w:iCs w:val="0"/>
          <w:sz w:val="28"/>
          <w:szCs w:val="28"/>
          <w:lang w:val="uk-UA"/>
        </w:rPr>
        <w:t>е</w:t>
      </w:r>
      <w:r>
        <w:rPr>
          <w:rStyle w:val="a9"/>
          <w:i w:val="0"/>
          <w:iCs w:val="0"/>
          <w:sz w:val="28"/>
          <w:szCs w:val="28"/>
          <w:lang w:val="uk-UA"/>
        </w:rPr>
        <w:t xml:space="preserve"> </w:t>
      </w:r>
      <w:r w:rsidR="00D81599" w:rsidRPr="008B39B5">
        <w:rPr>
          <w:sz w:val="28"/>
          <w:szCs w:val="28"/>
          <w:lang w:val="uk-UA"/>
        </w:rPr>
        <w:t>N - номінальна вартість облігації;</w:t>
      </w:r>
    </w:p>
    <w:p w:rsidR="00D81599" w:rsidRPr="008B39B5" w:rsidRDefault="00D81599" w:rsidP="008B39B5">
      <w:pPr>
        <w:pStyle w:val="a8"/>
        <w:widowControl w:val="0"/>
        <w:spacing w:before="0" w:beforeAutospacing="0" w:after="0" w:afterAutospacing="0" w:line="360" w:lineRule="auto"/>
        <w:ind w:firstLine="709"/>
        <w:jc w:val="both"/>
        <w:rPr>
          <w:sz w:val="28"/>
          <w:szCs w:val="28"/>
          <w:lang w:val="uk-UA"/>
        </w:rPr>
      </w:pPr>
      <w:r w:rsidRPr="008B39B5">
        <w:rPr>
          <w:sz w:val="28"/>
          <w:szCs w:val="28"/>
          <w:lang w:val="uk-UA"/>
        </w:rPr>
        <w:t>К</w:t>
      </w:r>
      <w:r w:rsidRPr="008B39B5">
        <w:rPr>
          <w:sz w:val="28"/>
          <w:szCs w:val="28"/>
          <w:vertAlign w:val="subscript"/>
          <w:lang w:val="uk-UA"/>
        </w:rPr>
        <w:t>о</w:t>
      </w:r>
      <w:r w:rsidRPr="008B39B5">
        <w:rPr>
          <w:sz w:val="28"/>
          <w:szCs w:val="28"/>
          <w:lang w:val="uk-UA"/>
        </w:rPr>
        <w:t xml:space="preserve"> - курс облігації ( купонна ставка ). </w:t>
      </w:r>
    </w:p>
    <w:p w:rsidR="00D81599" w:rsidRDefault="00D81599" w:rsidP="008B39B5">
      <w:pPr>
        <w:pStyle w:val="a8"/>
        <w:widowControl w:val="0"/>
        <w:spacing w:before="0" w:beforeAutospacing="0" w:after="0" w:afterAutospacing="0" w:line="360" w:lineRule="auto"/>
        <w:ind w:firstLine="709"/>
        <w:jc w:val="both"/>
        <w:rPr>
          <w:sz w:val="28"/>
          <w:szCs w:val="28"/>
          <w:lang w:val="uk-UA"/>
        </w:rPr>
      </w:pPr>
      <w:r w:rsidRPr="008B39B5">
        <w:rPr>
          <w:sz w:val="28"/>
          <w:szCs w:val="28"/>
          <w:lang w:val="uk-UA"/>
        </w:rPr>
        <w:t xml:space="preserve">Купонний дохід визначається шляхом процента </w:t>
      </w:r>
      <w:r w:rsidR="002E54D2" w:rsidRPr="008B39B5">
        <w:rPr>
          <w:sz w:val="28"/>
          <w:szCs w:val="28"/>
          <w:lang w:val="uk-UA"/>
        </w:rPr>
        <w:t>н</w:t>
      </w:r>
      <w:r w:rsidRPr="008B39B5">
        <w:rPr>
          <w:sz w:val="28"/>
          <w:szCs w:val="28"/>
          <w:lang w:val="uk-UA"/>
        </w:rPr>
        <w:t>оміналу:</w:t>
      </w:r>
    </w:p>
    <w:p w:rsidR="00FA365D" w:rsidRPr="008B39B5" w:rsidRDefault="00FA365D" w:rsidP="008B39B5">
      <w:pPr>
        <w:pStyle w:val="a8"/>
        <w:widowControl w:val="0"/>
        <w:spacing w:before="0" w:beforeAutospacing="0" w:after="0" w:afterAutospacing="0" w:line="360" w:lineRule="auto"/>
        <w:ind w:firstLine="709"/>
        <w:jc w:val="both"/>
        <w:rPr>
          <w:sz w:val="28"/>
          <w:szCs w:val="28"/>
          <w:lang w:val="uk-UA"/>
        </w:rPr>
      </w:pPr>
    </w:p>
    <w:p w:rsidR="00D81599" w:rsidRPr="008B39B5" w:rsidRDefault="00D81599" w:rsidP="008B39B5">
      <w:pPr>
        <w:pStyle w:val="a8"/>
        <w:widowControl w:val="0"/>
        <w:spacing w:before="0" w:beforeAutospacing="0" w:after="0" w:afterAutospacing="0" w:line="360" w:lineRule="auto"/>
        <w:ind w:firstLine="709"/>
        <w:jc w:val="both"/>
        <w:rPr>
          <w:sz w:val="28"/>
          <w:szCs w:val="28"/>
          <w:lang w:val="uk-UA"/>
        </w:rPr>
      </w:pPr>
      <w:r w:rsidRPr="008B39B5">
        <w:rPr>
          <w:rStyle w:val="a9"/>
          <w:i w:val="0"/>
          <w:iCs w:val="0"/>
          <w:sz w:val="28"/>
          <w:szCs w:val="28"/>
          <w:lang w:val="uk-UA"/>
        </w:rPr>
        <w:t>Кд = К</w:t>
      </w:r>
      <w:r w:rsidRPr="008B39B5">
        <w:rPr>
          <w:rStyle w:val="a9"/>
          <w:i w:val="0"/>
          <w:iCs w:val="0"/>
          <w:sz w:val="28"/>
          <w:szCs w:val="28"/>
          <w:vertAlign w:val="subscript"/>
          <w:lang w:val="uk-UA"/>
        </w:rPr>
        <w:t>о</w:t>
      </w:r>
      <w:r w:rsidRPr="008B39B5">
        <w:rPr>
          <w:rStyle w:val="a9"/>
          <w:i w:val="0"/>
          <w:iCs w:val="0"/>
          <w:sz w:val="28"/>
          <w:szCs w:val="28"/>
          <w:lang w:val="uk-UA"/>
        </w:rPr>
        <w:t xml:space="preserve"> </w:t>
      </w:r>
      <w:r w:rsidR="002E54D2" w:rsidRPr="008B39B5">
        <w:rPr>
          <w:rStyle w:val="a9"/>
          <w:i w:val="0"/>
          <w:iCs w:val="0"/>
          <w:sz w:val="28"/>
          <w:szCs w:val="28"/>
          <w:lang w:val="uk-UA"/>
        </w:rPr>
        <w:t>*</w:t>
      </w:r>
      <w:r w:rsidR="008B39B5">
        <w:rPr>
          <w:rStyle w:val="a9"/>
          <w:i w:val="0"/>
          <w:iCs w:val="0"/>
          <w:sz w:val="28"/>
          <w:szCs w:val="28"/>
          <w:lang w:val="uk-UA"/>
        </w:rPr>
        <w:t xml:space="preserve"> </w:t>
      </w:r>
      <w:r w:rsidRPr="008B39B5">
        <w:rPr>
          <w:rStyle w:val="a9"/>
          <w:i w:val="0"/>
          <w:iCs w:val="0"/>
          <w:sz w:val="28"/>
          <w:szCs w:val="28"/>
          <w:lang w:val="uk-UA"/>
        </w:rPr>
        <w:t>N</w:t>
      </w:r>
    </w:p>
    <w:p w:rsidR="00FA365D" w:rsidRDefault="00FA365D" w:rsidP="008B39B5">
      <w:pPr>
        <w:widowControl w:val="0"/>
        <w:spacing w:line="360" w:lineRule="auto"/>
        <w:jc w:val="both"/>
        <w:rPr>
          <w:rFonts w:ascii="Times New Roman" w:hAnsi="Times New Roman" w:cs="Times New Roman"/>
          <w:sz w:val="28"/>
          <w:szCs w:val="28"/>
        </w:rPr>
      </w:pPr>
    </w:p>
    <w:p w:rsidR="002E54D2" w:rsidRPr="008B39B5" w:rsidRDefault="007E2EBC" w:rsidP="008B39B5">
      <w:pPr>
        <w:widowControl w:val="0"/>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Курс облігації залежить від її номінальної вартості, річного доходу, який вона приносить, рівня позичкового процента, кількості років, що залишилися до погашення облігації, та співвідношення між пропозицією облігацій та попитом на них.</w:t>
      </w:r>
    </w:p>
    <w:p w:rsidR="002E54D2" w:rsidRPr="008B39B5" w:rsidRDefault="007E2EBC" w:rsidP="008B39B5">
      <w:pPr>
        <w:widowControl w:val="0"/>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Середній курс облігації, за яким рівень доходів і рівень позичкового процента однакові, дорівнюватиме номінальній вартості. Якщо ж рівень доходу за облігацією нижчий за рівень позичкового процента, то її середній курс буде меншим за номінальну вартість, а при рівні доходу за облігацією вищому за рівень позичкового процента – більшим.</w:t>
      </w:r>
    </w:p>
    <w:p w:rsidR="002E54D2" w:rsidRDefault="00FA365D" w:rsidP="008B39B5">
      <w:pPr>
        <w:widowControl w:val="0"/>
        <w:spacing w:line="360" w:lineRule="auto"/>
        <w:jc w:val="both"/>
        <w:rPr>
          <w:rFonts w:ascii="Times New Roman" w:hAnsi="Times New Roman" w:cs="Times New Roman"/>
          <w:sz w:val="28"/>
          <w:szCs w:val="28"/>
        </w:rPr>
      </w:pPr>
      <w:r>
        <w:rPr>
          <w:rFonts w:ascii="Times New Roman" w:hAnsi="Times New Roman" w:cs="Times New Roman"/>
          <w:sz w:val="28"/>
          <w:szCs w:val="28"/>
        </w:rPr>
        <w:br w:type="page"/>
      </w:r>
      <w:r w:rsidR="007E2EBC" w:rsidRPr="008B39B5">
        <w:rPr>
          <w:rFonts w:ascii="Times New Roman" w:hAnsi="Times New Roman" w:cs="Times New Roman"/>
          <w:sz w:val="28"/>
          <w:szCs w:val="28"/>
        </w:rPr>
        <w:t>Середній курс облігації визначається за формулою:</w:t>
      </w:r>
    </w:p>
    <w:p w:rsidR="00FA365D" w:rsidRPr="008B39B5" w:rsidRDefault="00FA365D" w:rsidP="008B39B5">
      <w:pPr>
        <w:widowControl w:val="0"/>
        <w:spacing w:line="360" w:lineRule="auto"/>
        <w:jc w:val="both"/>
        <w:rPr>
          <w:rFonts w:ascii="Times New Roman" w:hAnsi="Times New Roman" w:cs="Times New Roman"/>
          <w:sz w:val="28"/>
          <w:szCs w:val="28"/>
        </w:rPr>
      </w:pPr>
    </w:p>
    <w:p w:rsidR="00FA365D" w:rsidRDefault="007E2EBC" w:rsidP="008B39B5">
      <w:pPr>
        <w:widowControl w:val="0"/>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 xml:space="preserve">Кос = </w:t>
      </w:r>
      <w:r w:rsidR="000778C4">
        <w:rPr>
          <w:rFonts w:ascii="Times New Roman" w:hAnsi="Times New Roman" w:cs="Times New Roman"/>
          <w:noProof/>
          <w:sz w:val="28"/>
          <w:szCs w:val="28"/>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684" o:spid="_x0000_i1025" type="#_x0000_t75" alt="http://www.vuzlib.net/rfp_H/8.htm15.gif" style="width:63pt;height:36.75pt;visibility:visible">
            <v:imagedata r:id="rId7" o:title=""/>
          </v:shape>
        </w:pict>
      </w:r>
    </w:p>
    <w:p w:rsidR="00FA365D" w:rsidRDefault="00FA365D" w:rsidP="008B39B5">
      <w:pPr>
        <w:widowControl w:val="0"/>
        <w:spacing w:line="360" w:lineRule="auto"/>
        <w:jc w:val="both"/>
        <w:rPr>
          <w:rFonts w:ascii="Times New Roman" w:hAnsi="Times New Roman" w:cs="Times New Roman"/>
          <w:sz w:val="28"/>
          <w:szCs w:val="28"/>
        </w:rPr>
      </w:pPr>
    </w:p>
    <w:p w:rsidR="002E54D2" w:rsidRPr="008B39B5" w:rsidRDefault="00FA365D" w:rsidP="008B39B5">
      <w:pPr>
        <w:widowControl w:val="0"/>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Д</w:t>
      </w:r>
      <w:r w:rsidR="007E2EBC" w:rsidRPr="008B39B5">
        <w:rPr>
          <w:rFonts w:ascii="Times New Roman" w:hAnsi="Times New Roman" w:cs="Times New Roman"/>
          <w:sz w:val="28"/>
          <w:szCs w:val="28"/>
        </w:rPr>
        <w:t>е</w:t>
      </w:r>
      <w:r>
        <w:rPr>
          <w:rFonts w:ascii="Times New Roman" w:hAnsi="Times New Roman" w:cs="Times New Roman"/>
          <w:sz w:val="28"/>
          <w:szCs w:val="28"/>
        </w:rPr>
        <w:t xml:space="preserve"> </w:t>
      </w:r>
      <w:r w:rsidR="007E2EBC" w:rsidRPr="008B39B5">
        <w:rPr>
          <w:rFonts w:ascii="Times New Roman" w:hAnsi="Times New Roman" w:cs="Times New Roman"/>
          <w:sz w:val="28"/>
          <w:szCs w:val="28"/>
        </w:rPr>
        <w:t>Сн – номінальна вартість облігації; н – кількість років, що зал</w:t>
      </w:r>
      <w:r w:rsidR="002E54D2" w:rsidRPr="008B39B5">
        <w:rPr>
          <w:rFonts w:ascii="Times New Roman" w:hAnsi="Times New Roman" w:cs="Times New Roman"/>
          <w:sz w:val="28"/>
          <w:szCs w:val="28"/>
        </w:rPr>
        <w:t>ишилися до погашення облігації;</w:t>
      </w:r>
    </w:p>
    <w:p w:rsidR="002E54D2" w:rsidRDefault="007E2EBC" w:rsidP="008B39B5">
      <w:pPr>
        <w:widowControl w:val="0"/>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Р</w:t>
      </w:r>
      <w:r w:rsidR="00FA365D">
        <w:rPr>
          <w:rFonts w:ascii="Times New Roman" w:hAnsi="Times New Roman" w:cs="Times New Roman"/>
          <w:sz w:val="28"/>
          <w:szCs w:val="28"/>
        </w:rPr>
        <w:t>п – рівень позичкового процента</w:t>
      </w:r>
    </w:p>
    <w:p w:rsidR="00FA365D" w:rsidRDefault="00FA365D" w:rsidP="008B39B5">
      <w:pPr>
        <w:widowControl w:val="0"/>
        <w:spacing w:line="360" w:lineRule="auto"/>
        <w:jc w:val="both"/>
        <w:rPr>
          <w:rFonts w:ascii="Times New Roman" w:hAnsi="Times New Roman" w:cs="Times New Roman"/>
          <w:sz w:val="28"/>
          <w:szCs w:val="28"/>
        </w:rPr>
      </w:pPr>
    </w:p>
    <w:p w:rsidR="00FA365D" w:rsidRPr="008B39B5" w:rsidRDefault="00FA365D" w:rsidP="008B39B5">
      <w:pPr>
        <w:widowControl w:val="0"/>
        <w:spacing w:line="360" w:lineRule="auto"/>
        <w:jc w:val="both"/>
        <w:rPr>
          <w:rFonts w:ascii="Times New Roman" w:hAnsi="Times New Roman" w:cs="Times New Roman"/>
          <w:sz w:val="28"/>
          <w:szCs w:val="28"/>
        </w:rPr>
      </w:pPr>
    </w:p>
    <w:p w:rsidR="004F1AE9" w:rsidRDefault="002E54D2"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br w:type="page"/>
      </w:r>
      <w:r w:rsidR="004F1AE9" w:rsidRPr="008B39B5">
        <w:rPr>
          <w:rFonts w:ascii="Times New Roman" w:hAnsi="Times New Roman" w:cs="Times New Roman"/>
          <w:sz w:val="28"/>
          <w:szCs w:val="28"/>
        </w:rPr>
        <w:t>Список використаної літератури</w:t>
      </w:r>
    </w:p>
    <w:p w:rsidR="00FA365D" w:rsidRPr="008B39B5" w:rsidRDefault="00FA365D" w:rsidP="008B39B5">
      <w:pPr>
        <w:spacing w:line="360" w:lineRule="auto"/>
        <w:jc w:val="both"/>
        <w:rPr>
          <w:rFonts w:ascii="Times New Roman" w:hAnsi="Times New Roman" w:cs="Times New Roman"/>
          <w:sz w:val="28"/>
          <w:szCs w:val="28"/>
        </w:rPr>
      </w:pPr>
    </w:p>
    <w:p w:rsidR="004F1AE9" w:rsidRPr="008B39B5" w:rsidRDefault="004F1AE9" w:rsidP="00FA365D">
      <w:pPr>
        <w:numPr>
          <w:ilvl w:val="0"/>
          <w:numId w:val="31"/>
        </w:numPr>
        <w:tabs>
          <w:tab w:val="left" w:pos="440"/>
        </w:tabs>
        <w:spacing w:line="360" w:lineRule="auto"/>
        <w:ind w:left="0" w:firstLine="0"/>
        <w:jc w:val="both"/>
        <w:rPr>
          <w:rFonts w:ascii="Times New Roman" w:hAnsi="Times New Roman" w:cs="Times New Roman"/>
          <w:sz w:val="28"/>
          <w:szCs w:val="28"/>
        </w:rPr>
      </w:pPr>
      <w:r w:rsidRPr="008B39B5">
        <w:rPr>
          <w:rFonts w:ascii="Times New Roman" w:hAnsi="Times New Roman" w:cs="Times New Roman"/>
          <w:sz w:val="28"/>
          <w:szCs w:val="28"/>
        </w:rPr>
        <w:t>Гойко А.Ф. „Методи оцінки ефективності інвестицій та пріоритетні напрями їх реалізації ” – К: ВІРА-Р, 1999р. – 320 стор.</w:t>
      </w:r>
    </w:p>
    <w:p w:rsidR="004F1AE9" w:rsidRPr="008B39B5" w:rsidRDefault="00FA365D" w:rsidP="00FA365D">
      <w:pPr>
        <w:numPr>
          <w:ilvl w:val="0"/>
          <w:numId w:val="31"/>
        </w:numPr>
        <w:tabs>
          <w:tab w:val="left" w:pos="440"/>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Лозова Т.І., Худолій Л.</w:t>
      </w:r>
      <w:r w:rsidR="004F1AE9" w:rsidRPr="008B39B5">
        <w:rPr>
          <w:rFonts w:ascii="Times New Roman" w:hAnsi="Times New Roman" w:cs="Times New Roman"/>
          <w:sz w:val="28"/>
          <w:szCs w:val="28"/>
        </w:rPr>
        <w:t xml:space="preserve">М. „Управління фінансами акціонерних товариств ” – К: А.С.К., 2005р. – 384 стор. </w:t>
      </w:r>
    </w:p>
    <w:p w:rsidR="004F1AE9" w:rsidRPr="008B39B5" w:rsidRDefault="00FA365D" w:rsidP="00FA365D">
      <w:pPr>
        <w:numPr>
          <w:ilvl w:val="0"/>
          <w:numId w:val="31"/>
        </w:numPr>
        <w:tabs>
          <w:tab w:val="left" w:pos="440"/>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Александрова М.М., Кірейцев Г.</w:t>
      </w:r>
      <w:r w:rsidR="004F1AE9" w:rsidRPr="008B39B5">
        <w:rPr>
          <w:rFonts w:ascii="Times New Roman" w:hAnsi="Times New Roman" w:cs="Times New Roman"/>
          <w:sz w:val="28"/>
          <w:szCs w:val="28"/>
        </w:rPr>
        <w:t>Г.,</w:t>
      </w:r>
      <w:r>
        <w:rPr>
          <w:rFonts w:ascii="Times New Roman" w:hAnsi="Times New Roman" w:cs="Times New Roman"/>
          <w:sz w:val="28"/>
          <w:szCs w:val="28"/>
        </w:rPr>
        <w:t xml:space="preserve"> Маслова С.</w:t>
      </w:r>
      <w:r w:rsidR="004F1AE9" w:rsidRPr="008B39B5">
        <w:rPr>
          <w:rFonts w:ascii="Times New Roman" w:hAnsi="Times New Roman" w:cs="Times New Roman"/>
          <w:sz w:val="28"/>
          <w:szCs w:val="28"/>
        </w:rPr>
        <w:t>О. Гроші. Фінанси. Кредит. – Житомир: ЖІТІ, 2001. – 312 с.</w:t>
      </w:r>
    </w:p>
    <w:p w:rsidR="004F1AE9" w:rsidRPr="008B39B5" w:rsidRDefault="00FA365D" w:rsidP="00FA365D">
      <w:pPr>
        <w:widowControl w:val="0"/>
        <w:numPr>
          <w:ilvl w:val="0"/>
          <w:numId w:val="31"/>
        </w:numPr>
        <w:tabs>
          <w:tab w:val="left" w:pos="440"/>
        </w:tabs>
        <w:autoSpaceDE w:val="0"/>
        <w:autoSpaceDN w:val="0"/>
        <w:adjustRightInd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Майорова Т.</w:t>
      </w:r>
      <w:r w:rsidR="004F1AE9" w:rsidRPr="008B39B5">
        <w:rPr>
          <w:rFonts w:ascii="Times New Roman" w:hAnsi="Times New Roman" w:cs="Times New Roman"/>
          <w:sz w:val="28"/>
          <w:szCs w:val="28"/>
        </w:rPr>
        <w:t>В. «Інвестиційна діяльність. Навчальний посібник. – К.: ЦУЛ, 2003 р. – 376 стор.</w:t>
      </w:r>
    </w:p>
    <w:p w:rsidR="004F1AE9" w:rsidRPr="008B39B5" w:rsidRDefault="004F1AE9" w:rsidP="00FA365D">
      <w:pPr>
        <w:widowControl w:val="0"/>
        <w:numPr>
          <w:ilvl w:val="0"/>
          <w:numId w:val="31"/>
        </w:numPr>
        <w:tabs>
          <w:tab w:val="left" w:pos="440"/>
        </w:tabs>
        <w:autoSpaceDE w:val="0"/>
        <w:autoSpaceDN w:val="0"/>
        <w:adjustRightInd w:val="0"/>
        <w:spacing w:line="360" w:lineRule="auto"/>
        <w:ind w:left="0" w:firstLine="0"/>
        <w:jc w:val="both"/>
        <w:rPr>
          <w:rFonts w:ascii="Times New Roman" w:hAnsi="Times New Roman" w:cs="Times New Roman"/>
          <w:sz w:val="28"/>
          <w:szCs w:val="28"/>
        </w:rPr>
      </w:pPr>
      <w:r w:rsidRPr="008B39B5">
        <w:rPr>
          <w:rFonts w:ascii="Times New Roman" w:hAnsi="Times New Roman" w:cs="Times New Roman"/>
          <w:sz w:val="28"/>
          <w:szCs w:val="28"/>
        </w:rPr>
        <w:t xml:space="preserve">Гончаренко В.Г., Андрушко П.П., Базова Т.П. та інші «Юридичні терміни. Тлумачний словник// К.: Либідь, 2004. – 320 стор. </w:t>
      </w:r>
    </w:p>
    <w:p w:rsidR="004F1AE9" w:rsidRDefault="00FA365D" w:rsidP="00FA365D">
      <w:pPr>
        <w:widowControl w:val="0"/>
        <w:numPr>
          <w:ilvl w:val="0"/>
          <w:numId w:val="31"/>
        </w:numPr>
        <w:tabs>
          <w:tab w:val="left" w:pos="440"/>
        </w:tabs>
        <w:autoSpaceDE w:val="0"/>
        <w:autoSpaceDN w:val="0"/>
        <w:adjustRightInd w:val="0"/>
        <w:spacing w:line="360" w:lineRule="auto"/>
        <w:ind w:left="0"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Загородній А.Г., Вознюк Г.</w:t>
      </w:r>
      <w:r w:rsidR="004F1AE9" w:rsidRPr="008B39B5">
        <w:rPr>
          <w:rFonts w:ascii="Times New Roman" w:hAnsi="Times New Roman" w:cs="Times New Roman"/>
          <w:color w:val="000000"/>
          <w:sz w:val="28"/>
          <w:szCs w:val="28"/>
        </w:rPr>
        <w:t>Л. Фінансово-економічний словник. – К.: Знання, 2007. – 1072 с.</w:t>
      </w:r>
    </w:p>
    <w:p w:rsidR="00FA365D" w:rsidRDefault="00FA365D" w:rsidP="00FA365D">
      <w:pPr>
        <w:widowControl w:val="0"/>
        <w:autoSpaceDE w:val="0"/>
        <w:autoSpaceDN w:val="0"/>
        <w:adjustRightInd w:val="0"/>
        <w:spacing w:line="360" w:lineRule="auto"/>
        <w:jc w:val="both"/>
        <w:rPr>
          <w:rFonts w:ascii="Times New Roman" w:hAnsi="Times New Roman" w:cs="Times New Roman"/>
          <w:color w:val="000000"/>
          <w:sz w:val="28"/>
          <w:szCs w:val="28"/>
        </w:rPr>
      </w:pPr>
    </w:p>
    <w:p w:rsidR="00FA365D" w:rsidRPr="008B39B5" w:rsidRDefault="00FA365D" w:rsidP="00FA365D">
      <w:pPr>
        <w:widowControl w:val="0"/>
        <w:autoSpaceDE w:val="0"/>
        <w:autoSpaceDN w:val="0"/>
        <w:adjustRightInd w:val="0"/>
        <w:spacing w:line="360" w:lineRule="auto"/>
        <w:jc w:val="both"/>
        <w:rPr>
          <w:rFonts w:ascii="Times New Roman" w:hAnsi="Times New Roman" w:cs="Times New Roman"/>
          <w:color w:val="000000"/>
          <w:sz w:val="28"/>
          <w:szCs w:val="28"/>
        </w:rPr>
      </w:pPr>
    </w:p>
    <w:p w:rsidR="00330523" w:rsidRDefault="004F1AE9" w:rsidP="008B39B5">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br w:type="page"/>
      </w:r>
      <w:r w:rsidR="00330523" w:rsidRPr="008B39B5">
        <w:rPr>
          <w:rFonts w:ascii="Times New Roman" w:hAnsi="Times New Roman" w:cs="Times New Roman"/>
          <w:sz w:val="28"/>
          <w:szCs w:val="28"/>
        </w:rPr>
        <w:t xml:space="preserve">Додаток </w:t>
      </w:r>
    </w:p>
    <w:p w:rsidR="00FA365D" w:rsidRPr="008B39B5" w:rsidRDefault="00FA365D" w:rsidP="008B39B5">
      <w:pPr>
        <w:spacing w:line="360" w:lineRule="auto"/>
        <w:jc w:val="both"/>
        <w:rPr>
          <w:rFonts w:ascii="Times New Roman" w:hAnsi="Times New Roman" w:cs="Times New Roman"/>
          <w:sz w:val="28"/>
          <w:szCs w:val="28"/>
        </w:rPr>
      </w:pPr>
    </w:p>
    <w:p w:rsidR="00330523" w:rsidRDefault="00330523" w:rsidP="008B39B5">
      <w:pPr>
        <w:numPr>
          <w:ilvl w:val="12"/>
          <w:numId w:val="0"/>
        </w:numPr>
        <w:spacing w:line="360" w:lineRule="auto"/>
        <w:ind w:firstLine="709"/>
        <w:jc w:val="both"/>
        <w:rPr>
          <w:rFonts w:ascii="Times New Roman" w:hAnsi="Times New Roman" w:cs="Times New Roman"/>
          <w:sz w:val="28"/>
          <w:szCs w:val="28"/>
        </w:rPr>
      </w:pPr>
      <w:r w:rsidRPr="008B39B5">
        <w:rPr>
          <w:rFonts w:ascii="Times New Roman" w:hAnsi="Times New Roman" w:cs="Times New Roman"/>
          <w:sz w:val="28"/>
          <w:szCs w:val="28"/>
        </w:rPr>
        <w:t>Перелік документів, обов’язкових до надання для унесення акцій до Біржового реєстру УФБ</w:t>
      </w:r>
    </w:p>
    <w:p w:rsidR="00FA365D" w:rsidRPr="008B39B5" w:rsidRDefault="00FA365D" w:rsidP="008B39B5">
      <w:pPr>
        <w:numPr>
          <w:ilvl w:val="12"/>
          <w:numId w:val="0"/>
        </w:numPr>
        <w:spacing w:line="360" w:lineRule="auto"/>
        <w:ind w:firstLine="709"/>
        <w:jc w:val="both"/>
        <w:rPr>
          <w:rFonts w:ascii="Times New Roman" w:hAnsi="Times New Roman" w:cs="Times New Roman"/>
          <w:sz w:val="28"/>
          <w:szCs w:val="28"/>
        </w:rPr>
      </w:pPr>
    </w:p>
    <w:tbl>
      <w:tblPr>
        <w:tblW w:w="0" w:type="auto"/>
        <w:tblInd w:w="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68"/>
        <w:gridCol w:w="8440"/>
      </w:tblGrid>
      <w:tr w:rsidR="00330523" w:rsidRPr="008B39B5">
        <w:tc>
          <w:tcPr>
            <w:tcW w:w="468" w:type="dxa"/>
          </w:tcPr>
          <w:p w:rsidR="00330523" w:rsidRPr="00FA365D" w:rsidRDefault="00330523" w:rsidP="00FA365D">
            <w:pPr>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w:t>
            </w:r>
          </w:p>
        </w:tc>
        <w:tc>
          <w:tcPr>
            <w:tcW w:w="8440" w:type="dxa"/>
          </w:tcPr>
          <w:p w:rsidR="00330523" w:rsidRPr="00FA365D" w:rsidRDefault="00330523" w:rsidP="00FA365D">
            <w:pPr>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Найменування документу</w:t>
            </w:r>
          </w:p>
        </w:tc>
      </w:tr>
      <w:tr w:rsidR="00330523" w:rsidRPr="008B39B5">
        <w:tc>
          <w:tcPr>
            <w:tcW w:w="468" w:type="dxa"/>
          </w:tcPr>
          <w:p w:rsidR="00330523" w:rsidRPr="00FA365D" w:rsidRDefault="005254F2" w:rsidP="00FA365D">
            <w:pPr>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1</w:t>
            </w:r>
          </w:p>
        </w:tc>
        <w:tc>
          <w:tcPr>
            <w:tcW w:w="8440" w:type="dxa"/>
          </w:tcPr>
          <w:p w:rsidR="00330523" w:rsidRPr="00FA365D" w:rsidRDefault="00330523" w:rsidP="00FA365D">
            <w:pPr>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Нотаріально завірена копія статуту емітента.</w:t>
            </w:r>
          </w:p>
        </w:tc>
      </w:tr>
      <w:tr w:rsidR="00330523" w:rsidRPr="008B39B5">
        <w:tc>
          <w:tcPr>
            <w:tcW w:w="468" w:type="dxa"/>
          </w:tcPr>
          <w:p w:rsidR="00330523" w:rsidRPr="00FA365D" w:rsidRDefault="005254F2" w:rsidP="00FA365D">
            <w:pPr>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2</w:t>
            </w:r>
          </w:p>
        </w:tc>
        <w:tc>
          <w:tcPr>
            <w:tcW w:w="8440" w:type="dxa"/>
          </w:tcPr>
          <w:p w:rsidR="00330523" w:rsidRPr="00FA365D" w:rsidRDefault="00330523" w:rsidP="00FA365D">
            <w:pPr>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Копія свідоцтва (рішення) про державну реєстрацію емітента.</w:t>
            </w:r>
          </w:p>
        </w:tc>
      </w:tr>
      <w:tr w:rsidR="00330523" w:rsidRPr="008B39B5">
        <w:tc>
          <w:tcPr>
            <w:tcW w:w="468" w:type="dxa"/>
          </w:tcPr>
          <w:p w:rsidR="00330523" w:rsidRPr="00FA365D" w:rsidRDefault="005254F2" w:rsidP="00FA365D">
            <w:pPr>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3</w:t>
            </w:r>
          </w:p>
        </w:tc>
        <w:tc>
          <w:tcPr>
            <w:tcW w:w="8440" w:type="dxa"/>
          </w:tcPr>
          <w:p w:rsidR="00330523" w:rsidRPr="00FA365D" w:rsidRDefault="00330523" w:rsidP="00FA365D">
            <w:pPr>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Копія свідоцтва про внесення емітента в Єдиний державний реєстр під</w:t>
            </w:r>
            <w:r w:rsidR="006E4ECB">
              <w:rPr>
                <w:rFonts w:ascii="Times New Roman" w:hAnsi="Times New Roman" w:cs="Times New Roman"/>
                <w:sz w:val="20"/>
                <w:szCs w:val="20"/>
              </w:rPr>
              <w:t>пр-</w:t>
            </w:r>
            <w:r w:rsidRPr="00FA365D">
              <w:rPr>
                <w:rFonts w:ascii="Times New Roman" w:hAnsi="Times New Roman" w:cs="Times New Roman"/>
                <w:sz w:val="20"/>
                <w:szCs w:val="20"/>
              </w:rPr>
              <w:t>в та орг</w:t>
            </w:r>
            <w:r w:rsidR="006E4ECB">
              <w:rPr>
                <w:rFonts w:ascii="Times New Roman" w:hAnsi="Times New Roman" w:cs="Times New Roman"/>
                <w:sz w:val="20"/>
                <w:szCs w:val="20"/>
              </w:rPr>
              <w:t>-</w:t>
            </w:r>
            <w:r w:rsidRPr="00FA365D">
              <w:rPr>
                <w:rFonts w:ascii="Times New Roman" w:hAnsi="Times New Roman" w:cs="Times New Roman"/>
                <w:sz w:val="20"/>
                <w:szCs w:val="20"/>
              </w:rPr>
              <w:t>цій України.</w:t>
            </w:r>
          </w:p>
        </w:tc>
      </w:tr>
      <w:tr w:rsidR="00330523" w:rsidRPr="008B39B5">
        <w:tc>
          <w:tcPr>
            <w:tcW w:w="468" w:type="dxa"/>
          </w:tcPr>
          <w:p w:rsidR="00330523" w:rsidRPr="00FA365D" w:rsidRDefault="005254F2" w:rsidP="00FA365D">
            <w:pPr>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4</w:t>
            </w:r>
          </w:p>
        </w:tc>
        <w:tc>
          <w:tcPr>
            <w:tcW w:w="8440" w:type="dxa"/>
          </w:tcPr>
          <w:p w:rsidR="00330523" w:rsidRPr="00FA365D" w:rsidRDefault="00330523" w:rsidP="00FA365D">
            <w:pPr>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 xml:space="preserve">Копії документів, що засвідчують присвоєння цінним паперам: </w:t>
            </w:r>
          </w:p>
          <w:p w:rsidR="00330523" w:rsidRPr="00FA365D" w:rsidRDefault="00330523" w:rsidP="00FA365D">
            <w:pPr>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 xml:space="preserve">- державного реєстраційного номера; </w:t>
            </w:r>
          </w:p>
          <w:p w:rsidR="00330523" w:rsidRPr="00FA365D" w:rsidRDefault="00330523" w:rsidP="00FA365D">
            <w:pPr>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 міжнародний ідентифікаційний номер цінних паперів.</w:t>
            </w:r>
          </w:p>
        </w:tc>
      </w:tr>
      <w:tr w:rsidR="00330523" w:rsidRPr="008B39B5">
        <w:tc>
          <w:tcPr>
            <w:tcW w:w="468" w:type="dxa"/>
          </w:tcPr>
          <w:p w:rsidR="00330523" w:rsidRPr="00FA365D" w:rsidRDefault="005254F2" w:rsidP="00FA365D">
            <w:pPr>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5</w:t>
            </w:r>
          </w:p>
        </w:tc>
        <w:tc>
          <w:tcPr>
            <w:tcW w:w="8440" w:type="dxa"/>
          </w:tcPr>
          <w:p w:rsidR="00330523" w:rsidRPr="00FA365D" w:rsidRDefault="00330523" w:rsidP="00FA365D">
            <w:pPr>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Копія свідоцтва про реєстрацію випуску акцій.</w:t>
            </w:r>
          </w:p>
        </w:tc>
      </w:tr>
      <w:tr w:rsidR="00330523" w:rsidRPr="008B39B5">
        <w:tc>
          <w:tcPr>
            <w:tcW w:w="468" w:type="dxa"/>
          </w:tcPr>
          <w:p w:rsidR="00330523" w:rsidRPr="00FA365D" w:rsidRDefault="005254F2" w:rsidP="00FA365D">
            <w:pPr>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6</w:t>
            </w:r>
          </w:p>
        </w:tc>
        <w:tc>
          <w:tcPr>
            <w:tcW w:w="8440" w:type="dxa"/>
          </w:tcPr>
          <w:p w:rsidR="00330523" w:rsidRPr="00FA365D" w:rsidRDefault="00330523" w:rsidP="00FA365D">
            <w:pPr>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Копія проспекту емісії цінних паперів, зареєстрованого відповідно до чинного зак</w:t>
            </w:r>
            <w:r w:rsidR="006E4ECB">
              <w:rPr>
                <w:rFonts w:ascii="Times New Roman" w:hAnsi="Times New Roman" w:cs="Times New Roman"/>
                <w:sz w:val="20"/>
                <w:szCs w:val="20"/>
              </w:rPr>
              <w:t>-</w:t>
            </w:r>
            <w:r w:rsidRPr="00FA365D">
              <w:rPr>
                <w:rFonts w:ascii="Times New Roman" w:hAnsi="Times New Roman" w:cs="Times New Roman"/>
                <w:sz w:val="20"/>
                <w:szCs w:val="20"/>
              </w:rPr>
              <w:t>ва України.</w:t>
            </w:r>
          </w:p>
        </w:tc>
      </w:tr>
      <w:tr w:rsidR="00330523" w:rsidRPr="008B39B5">
        <w:tc>
          <w:tcPr>
            <w:tcW w:w="468" w:type="dxa"/>
          </w:tcPr>
          <w:p w:rsidR="00330523" w:rsidRPr="00FA365D" w:rsidRDefault="005254F2" w:rsidP="00FA365D">
            <w:pPr>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7</w:t>
            </w:r>
          </w:p>
        </w:tc>
        <w:tc>
          <w:tcPr>
            <w:tcW w:w="8440" w:type="dxa"/>
          </w:tcPr>
          <w:p w:rsidR="00330523" w:rsidRPr="00FA365D" w:rsidRDefault="00330523" w:rsidP="00FA365D">
            <w:pPr>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Анкета цінного паперу.</w:t>
            </w:r>
          </w:p>
        </w:tc>
      </w:tr>
      <w:tr w:rsidR="00330523" w:rsidRPr="008B39B5">
        <w:tc>
          <w:tcPr>
            <w:tcW w:w="468" w:type="dxa"/>
          </w:tcPr>
          <w:p w:rsidR="00330523" w:rsidRPr="00FA365D" w:rsidRDefault="005254F2" w:rsidP="00FA365D">
            <w:pPr>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8</w:t>
            </w:r>
          </w:p>
        </w:tc>
        <w:tc>
          <w:tcPr>
            <w:tcW w:w="8440" w:type="dxa"/>
          </w:tcPr>
          <w:p w:rsidR="00330523" w:rsidRPr="00FA365D" w:rsidRDefault="00330523" w:rsidP="00FA365D">
            <w:pPr>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Фінансова звітність за звітний період, що передував кварталу, у якому подаються документи.</w:t>
            </w:r>
          </w:p>
        </w:tc>
      </w:tr>
      <w:tr w:rsidR="00330523" w:rsidRPr="008B39B5">
        <w:tc>
          <w:tcPr>
            <w:tcW w:w="468" w:type="dxa"/>
          </w:tcPr>
          <w:p w:rsidR="00330523" w:rsidRPr="00FA365D" w:rsidRDefault="005254F2" w:rsidP="00FA365D">
            <w:pPr>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9</w:t>
            </w:r>
          </w:p>
        </w:tc>
        <w:tc>
          <w:tcPr>
            <w:tcW w:w="8440" w:type="dxa"/>
          </w:tcPr>
          <w:p w:rsidR="00330523" w:rsidRPr="00FA365D" w:rsidRDefault="00330523" w:rsidP="00FA365D">
            <w:pPr>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Фінансова звітність за останні три завершені фінансові роки.</w:t>
            </w:r>
          </w:p>
        </w:tc>
      </w:tr>
      <w:tr w:rsidR="00330523" w:rsidRPr="008B39B5">
        <w:tc>
          <w:tcPr>
            <w:tcW w:w="468" w:type="dxa"/>
          </w:tcPr>
          <w:p w:rsidR="00330523" w:rsidRPr="00FA365D" w:rsidRDefault="005254F2" w:rsidP="00FA365D">
            <w:pPr>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10</w:t>
            </w:r>
          </w:p>
        </w:tc>
        <w:tc>
          <w:tcPr>
            <w:tcW w:w="8440" w:type="dxa"/>
          </w:tcPr>
          <w:p w:rsidR="00330523" w:rsidRPr="00FA365D" w:rsidRDefault="00330523" w:rsidP="00FA365D">
            <w:pPr>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У випадках, коли емітент є правонаступником одного або декількох засновників, а також якщо емітент заснований шляхом реорганізації державних, комунальних або інших підприємств відповідно до законодавства про приватизацію, він зобов’язаний надати бухгалтерські баланси і звіти засновників (засновника) або реорганізованого підприємства за останні три роки, що передують поданню заяви, для проходження допуску на УФБ, а також ліквідаційні (передавальні) баланси.</w:t>
            </w:r>
          </w:p>
        </w:tc>
      </w:tr>
      <w:tr w:rsidR="00330523" w:rsidRPr="008B39B5">
        <w:tc>
          <w:tcPr>
            <w:tcW w:w="468" w:type="dxa"/>
          </w:tcPr>
          <w:p w:rsidR="00330523" w:rsidRPr="00FA365D" w:rsidRDefault="005254F2" w:rsidP="00FA365D">
            <w:pPr>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11</w:t>
            </w:r>
          </w:p>
        </w:tc>
        <w:tc>
          <w:tcPr>
            <w:tcW w:w="8440" w:type="dxa"/>
          </w:tcPr>
          <w:p w:rsidR="00330523" w:rsidRPr="00FA365D" w:rsidRDefault="00330523" w:rsidP="00FA365D">
            <w:pPr>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Копія аудиторського висновку до звіту за останній рік роботи.</w:t>
            </w:r>
          </w:p>
        </w:tc>
      </w:tr>
      <w:tr w:rsidR="00330523" w:rsidRPr="008B39B5">
        <w:tc>
          <w:tcPr>
            <w:tcW w:w="468" w:type="dxa"/>
          </w:tcPr>
          <w:p w:rsidR="00330523" w:rsidRPr="00FA365D" w:rsidRDefault="005254F2" w:rsidP="00FA365D">
            <w:pPr>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12</w:t>
            </w:r>
          </w:p>
        </w:tc>
        <w:tc>
          <w:tcPr>
            <w:tcW w:w="8440" w:type="dxa"/>
          </w:tcPr>
          <w:p w:rsidR="00330523" w:rsidRPr="00FA365D" w:rsidRDefault="00330523" w:rsidP="00FA365D">
            <w:pPr>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Копія прийнятого ДКЦПФР звіту емітента за останній звітний період</w:t>
            </w:r>
          </w:p>
        </w:tc>
      </w:tr>
      <w:tr w:rsidR="00330523" w:rsidRPr="008B39B5">
        <w:tc>
          <w:tcPr>
            <w:tcW w:w="468" w:type="dxa"/>
          </w:tcPr>
          <w:p w:rsidR="00330523" w:rsidRPr="00FA365D" w:rsidRDefault="005254F2" w:rsidP="00FA365D">
            <w:pPr>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13</w:t>
            </w:r>
          </w:p>
        </w:tc>
        <w:tc>
          <w:tcPr>
            <w:tcW w:w="8440" w:type="dxa"/>
          </w:tcPr>
          <w:p w:rsidR="00330523" w:rsidRPr="00FA365D" w:rsidRDefault="00330523" w:rsidP="00FA365D">
            <w:pPr>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 xml:space="preserve">Звіт, який містить дані щодо структури акціонерного капіталу емітентів-акціонерних товариств, список усіх філій, представництв та інших самостійних підрозділів емітента, що мають окремі поточні та інші рахунки, та відомості про адміністративні та економічні санкції, що накладалися на емітента. </w:t>
            </w:r>
          </w:p>
        </w:tc>
      </w:tr>
      <w:tr w:rsidR="00330523" w:rsidRPr="008B39B5">
        <w:tc>
          <w:tcPr>
            <w:tcW w:w="468" w:type="dxa"/>
          </w:tcPr>
          <w:p w:rsidR="00330523" w:rsidRPr="00FA365D" w:rsidRDefault="005254F2" w:rsidP="00FA365D">
            <w:pPr>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14</w:t>
            </w:r>
          </w:p>
        </w:tc>
        <w:tc>
          <w:tcPr>
            <w:tcW w:w="8440" w:type="dxa"/>
          </w:tcPr>
          <w:p w:rsidR="00330523" w:rsidRPr="00FA365D" w:rsidRDefault="00330523" w:rsidP="00FA365D">
            <w:pPr>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Підписаний з боку заявника договір про підтримання лістингу у двох примірниках.</w:t>
            </w:r>
          </w:p>
        </w:tc>
      </w:tr>
    </w:tbl>
    <w:p w:rsidR="006E4ECB" w:rsidRDefault="006E4ECB" w:rsidP="006E4ECB">
      <w:pPr>
        <w:spacing w:line="360" w:lineRule="auto"/>
        <w:jc w:val="both"/>
        <w:rPr>
          <w:rFonts w:ascii="Times New Roman" w:hAnsi="Times New Roman" w:cs="Times New Roman"/>
          <w:sz w:val="28"/>
          <w:szCs w:val="28"/>
        </w:rPr>
      </w:pPr>
    </w:p>
    <w:p w:rsidR="006E4ECB" w:rsidRDefault="00330523" w:rsidP="006E4ECB">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Примітки:</w:t>
      </w:r>
      <w:r w:rsidR="006E4ECB">
        <w:rPr>
          <w:rFonts w:ascii="Times New Roman" w:hAnsi="Times New Roman" w:cs="Times New Roman"/>
          <w:sz w:val="28"/>
          <w:szCs w:val="28"/>
        </w:rPr>
        <w:t xml:space="preserve"> </w:t>
      </w:r>
      <w:r w:rsidRPr="008B39B5">
        <w:rPr>
          <w:rFonts w:ascii="Times New Roman" w:hAnsi="Times New Roman" w:cs="Times New Roman"/>
          <w:sz w:val="28"/>
          <w:szCs w:val="28"/>
        </w:rPr>
        <w:t>Заявник несе відповідальність за достовірність інформації, яка міститься в наданих документах, згідно з чинним законодавством України, Правилами УФБ та договором про підтримання лістингу.</w:t>
      </w:r>
      <w:r w:rsidR="006E4ECB">
        <w:rPr>
          <w:rFonts w:ascii="Times New Roman" w:hAnsi="Times New Roman" w:cs="Times New Roman"/>
          <w:sz w:val="28"/>
          <w:szCs w:val="28"/>
        </w:rPr>
        <w:t xml:space="preserve"> </w:t>
      </w:r>
      <w:r w:rsidRPr="008B39B5">
        <w:rPr>
          <w:rFonts w:ascii="Times New Roman" w:hAnsi="Times New Roman" w:cs="Times New Roman"/>
          <w:sz w:val="28"/>
          <w:szCs w:val="28"/>
        </w:rPr>
        <w:t>Всі документи, які нараховують більше одного аркушу, повинні бути пронумеровані, прошнуровані і оформлені належним чином.</w:t>
      </w:r>
    </w:p>
    <w:p w:rsidR="00330523" w:rsidRPr="008B39B5" w:rsidRDefault="006E4ECB" w:rsidP="006E4ECB">
      <w:pPr>
        <w:tabs>
          <w:tab w:val="left" w:pos="1080"/>
        </w:tabs>
        <w:spacing w:line="360" w:lineRule="auto"/>
        <w:jc w:val="both"/>
        <w:rPr>
          <w:rFonts w:ascii="Times New Roman" w:hAnsi="Times New Roman" w:cs="Times New Roman"/>
          <w:sz w:val="28"/>
          <w:szCs w:val="28"/>
        </w:rPr>
      </w:pPr>
      <w:r>
        <w:rPr>
          <w:rFonts w:ascii="Times New Roman" w:hAnsi="Times New Roman" w:cs="Times New Roman"/>
          <w:sz w:val="28"/>
          <w:szCs w:val="28"/>
        </w:rPr>
        <w:br w:type="page"/>
      </w:r>
      <w:r w:rsidR="00330523" w:rsidRPr="008B39B5">
        <w:rPr>
          <w:rFonts w:ascii="Times New Roman" w:hAnsi="Times New Roman" w:cs="Times New Roman"/>
          <w:sz w:val="28"/>
          <w:szCs w:val="28"/>
        </w:rPr>
        <w:t>Перелік документів, обов’язкових до надання для унесення облігацій підприємств до Біржового реєстру УФБ</w:t>
      </w:r>
    </w:p>
    <w:p w:rsidR="00330523" w:rsidRPr="008B39B5" w:rsidRDefault="00330523" w:rsidP="008B39B5">
      <w:pPr>
        <w:spacing w:line="360" w:lineRule="auto"/>
        <w:jc w:val="both"/>
        <w:rPr>
          <w:rFonts w:ascii="Times New Roman" w:hAnsi="Times New Roman" w:cs="Times New Roman"/>
          <w:sz w:val="28"/>
          <w:szCs w:val="28"/>
        </w:rPr>
      </w:pPr>
    </w:p>
    <w:tbl>
      <w:tblPr>
        <w:tblW w:w="0" w:type="auto"/>
        <w:tblInd w:w="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68"/>
        <w:gridCol w:w="8332"/>
      </w:tblGrid>
      <w:tr w:rsidR="00330523" w:rsidRPr="008B39B5">
        <w:tc>
          <w:tcPr>
            <w:tcW w:w="468" w:type="dxa"/>
          </w:tcPr>
          <w:p w:rsidR="00330523" w:rsidRPr="00FA365D" w:rsidRDefault="00330523" w:rsidP="00FA365D">
            <w:pPr>
              <w:tabs>
                <w:tab w:val="left" w:pos="1080"/>
              </w:tabs>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w:t>
            </w:r>
          </w:p>
        </w:tc>
        <w:tc>
          <w:tcPr>
            <w:tcW w:w="8332" w:type="dxa"/>
          </w:tcPr>
          <w:p w:rsidR="00330523" w:rsidRPr="00FA365D" w:rsidRDefault="00330523" w:rsidP="00FA365D">
            <w:pPr>
              <w:tabs>
                <w:tab w:val="left" w:pos="1080"/>
              </w:tabs>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Найменування документу</w:t>
            </w:r>
          </w:p>
        </w:tc>
      </w:tr>
      <w:tr w:rsidR="00330523" w:rsidRPr="008B39B5">
        <w:tc>
          <w:tcPr>
            <w:tcW w:w="468" w:type="dxa"/>
          </w:tcPr>
          <w:p w:rsidR="00330523" w:rsidRPr="00FA365D" w:rsidRDefault="00330523" w:rsidP="00FA365D">
            <w:pPr>
              <w:numPr>
                <w:ilvl w:val="0"/>
                <w:numId w:val="11"/>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332" w:type="dxa"/>
          </w:tcPr>
          <w:p w:rsidR="00330523" w:rsidRPr="00FA365D" w:rsidRDefault="00330523" w:rsidP="00FA365D">
            <w:pPr>
              <w:tabs>
                <w:tab w:val="left" w:pos="1080"/>
              </w:tabs>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Нотаріально завірена копія статуту емітента.</w:t>
            </w:r>
          </w:p>
        </w:tc>
      </w:tr>
      <w:tr w:rsidR="00330523" w:rsidRPr="008B39B5">
        <w:tc>
          <w:tcPr>
            <w:tcW w:w="468" w:type="dxa"/>
          </w:tcPr>
          <w:p w:rsidR="00330523" w:rsidRPr="00FA365D" w:rsidRDefault="00330523" w:rsidP="00FA365D">
            <w:pPr>
              <w:numPr>
                <w:ilvl w:val="0"/>
                <w:numId w:val="11"/>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332" w:type="dxa"/>
          </w:tcPr>
          <w:p w:rsidR="00330523" w:rsidRPr="00FA365D" w:rsidRDefault="00330523" w:rsidP="00FA365D">
            <w:pPr>
              <w:tabs>
                <w:tab w:val="left" w:pos="1080"/>
              </w:tabs>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Копія свідоцтва (рішення) про державну реєстрацію емітента.</w:t>
            </w:r>
          </w:p>
        </w:tc>
      </w:tr>
      <w:tr w:rsidR="00330523" w:rsidRPr="008B39B5">
        <w:tc>
          <w:tcPr>
            <w:tcW w:w="468" w:type="dxa"/>
          </w:tcPr>
          <w:p w:rsidR="00330523" w:rsidRPr="00FA365D" w:rsidRDefault="00330523" w:rsidP="00FA365D">
            <w:pPr>
              <w:numPr>
                <w:ilvl w:val="0"/>
                <w:numId w:val="11"/>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332" w:type="dxa"/>
          </w:tcPr>
          <w:p w:rsidR="00330523" w:rsidRPr="00FA365D" w:rsidRDefault="00330523" w:rsidP="00FA365D">
            <w:pPr>
              <w:tabs>
                <w:tab w:val="left" w:pos="1080"/>
              </w:tabs>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Копія свідоцтва про внесення емітента в Єдиний державний реєстр підприємств та організацій України.</w:t>
            </w:r>
          </w:p>
        </w:tc>
      </w:tr>
      <w:tr w:rsidR="00330523" w:rsidRPr="008B39B5">
        <w:tc>
          <w:tcPr>
            <w:tcW w:w="468" w:type="dxa"/>
          </w:tcPr>
          <w:p w:rsidR="00330523" w:rsidRPr="00FA365D" w:rsidRDefault="00330523" w:rsidP="00FA365D">
            <w:pPr>
              <w:numPr>
                <w:ilvl w:val="0"/>
                <w:numId w:val="11"/>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332" w:type="dxa"/>
          </w:tcPr>
          <w:p w:rsidR="00330523" w:rsidRPr="00FA365D" w:rsidRDefault="00330523" w:rsidP="00FA365D">
            <w:pPr>
              <w:tabs>
                <w:tab w:val="left" w:pos="1080"/>
              </w:tabs>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 xml:space="preserve">Копії документів, що засвідчують присвоєння цінним паперам: </w:t>
            </w:r>
          </w:p>
          <w:p w:rsidR="00330523" w:rsidRPr="00FA365D" w:rsidRDefault="00330523" w:rsidP="00FA365D">
            <w:pPr>
              <w:tabs>
                <w:tab w:val="left" w:pos="1080"/>
              </w:tabs>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w:t>
            </w:r>
            <w:r w:rsidR="008B39B5" w:rsidRPr="00FA365D">
              <w:rPr>
                <w:rFonts w:ascii="Times New Roman" w:hAnsi="Times New Roman" w:cs="Times New Roman"/>
                <w:sz w:val="20"/>
                <w:szCs w:val="20"/>
              </w:rPr>
              <w:t xml:space="preserve"> </w:t>
            </w:r>
            <w:r w:rsidRPr="00FA365D">
              <w:rPr>
                <w:rFonts w:ascii="Times New Roman" w:hAnsi="Times New Roman" w:cs="Times New Roman"/>
                <w:sz w:val="20"/>
                <w:szCs w:val="20"/>
              </w:rPr>
              <w:t xml:space="preserve"> державного реєстраційного номера; </w:t>
            </w:r>
          </w:p>
          <w:p w:rsidR="00330523" w:rsidRPr="00FA365D" w:rsidRDefault="00330523" w:rsidP="00FA365D">
            <w:pPr>
              <w:tabs>
                <w:tab w:val="left" w:pos="1080"/>
              </w:tabs>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 міжнародний ідентифікаційний номер цінних</w:t>
            </w:r>
            <w:r w:rsidR="008B39B5" w:rsidRPr="00FA365D">
              <w:rPr>
                <w:rFonts w:ascii="Times New Roman" w:hAnsi="Times New Roman" w:cs="Times New Roman"/>
                <w:sz w:val="20"/>
                <w:szCs w:val="20"/>
              </w:rPr>
              <w:t xml:space="preserve"> </w:t>
            </w:r>
            <w:r w:rsidRPr="00FA365D">
              <w:rPr>
                <w:rFonts w:ascii="Times New Roman" w:hAnsi="Times New Roman" w:cs="Times New Roman"/>
                <w:sz w:val="20"/>
                <w:szCs w:val="20"/>
              </w:rPr>
              <w:t>паперів.</w:t>
            </w:r>
          </w:p>
        </w:tc>
      </w:tr>
      <w:tr w:rsidR="00330523" w:rsidRPr="008B39B5">
        <w:tc>
          <w:tcPr>
            <w:tcW w:w="468" w:type="dxa"/>
          </w:tcPr>
          <w:p w:rsidR="00330523" w:rsidRPr="00FA365D" w:rsidRDefault="00330523" w:rsidP="00FA365D">
            <w:pPr>
              <w:numPr>
                <w:ilvl w:val="0"/>
                <w:numId w:val="11"/>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332" w:type="dxa"/>
          </w:tcPr>
          <w:p w:rsidR="00330523" w:rsidRPr="00FA365D" w:rsidRDefault="00330523" w:rsidP="00FA365D">
            <w:pPr>
              <w:tabs>
                <w:tab w:val="left" w:pos="1080"/>
              </w:tabs>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Копія проспекту емісії цінних паперів, зареєстрованого відповідно до чинного законодавства України.</w:t>
            </w:r>
          </w:p>
        </w:tc>
      </w:tr>
      <w:tr w:rsidR="00330523" w:rsidRPr="008B39B5">
        <w:tc>
          <w:tcPr>
            <w:tcW w:w="468" w:type="dxa"/>
          </w:tcPr>
          <w:p w:rsidR="00330523" w:rsidRPr="00FA365D" w:rsidRDefault="00330523" w:rsidP="00FA365D">
            <w:pPr>
              <w:numPr>
                <w:ilvl w:val="0"/>
                <w:numId w:val="11"/>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332" w:type="dxa"/>
          </w:tcPr>
          <w:p w:rsidR="00330523" w:rsidRPr="00FA365D" w:rsidRDefault="00330523" w:rsidP="00FA365D">
            <w:pPr>
              <w:tabs>
                <w:tab w:val="left" w:pos="1080"/>
              </w:tabs>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Анкета цінного паперу.</w:t>
            </w:r>
          </w:p>
        </w:tc>
      </w:tr>
      <w:tr w:rsidR="00330523" w:rsidRPr="008B39B5">
        <w:tc>
          <w:tcPr>
            <w:tcW w:w="468" w:type="dxa"/>
          </w:tcPr>
          <w:p w:rsidR="00330523" w:rsidRPr="00FA365D" w:rsidRDefault="00330523" w:rsidP="00FA365D">
            <w:pPr>
              <w:numPr>
                <w:ilvl w:val="0"/>
                <w:numId w:val="11"/>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332" w:type="dxa"/>
          </w:tcPr>
          <w:p w:rsidR="00330523" w:rsidRPr="00FA365D" w:rsidRDefault="00330523" w:rsidP="00FA365D">
            <w:pPr>
              <w:tabs>
                <w:tab w:val="left" w:pos="1080"/>
              </w:tabs>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Фінансова звітність за звітний період, що передував кварталу, у якому подаються документи.</w:t>
            </w:r>
          </w:p>
        </w:tc>
      </w:tr>
      <w:tr w:rsidR="00330523" w:rsidRPr="008B39B5">
        <w:tc>
          <w:tcPr>
            <w:tcW w:w="468" w:type="dxa"/>
          </w:tcPr>
          <w:p w:rsidR="00330523" w:rsidRPr="00FA365D" w:rsidRDefault="00330523" w:rsidP="00FA365D">
            <w:pPr>
              <w:numPr>
                <w:ilvl w:val="0"/>
                <w:numId w:val="11"/>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332" w:type="dxa"/>
          </w:tcPr>
          <w:p w:rsidR="00330523" w:rsidRPr="00FA365D" w:rsidRDefault="00330523" w:rsidP="00FA365D">
            <w:pPr>
              <w:tabs>
                <w:tab w:val="left" w:pos="1080"/>
              </w:tabs>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Фінансова звітність за останні три завершені фінансові роки.</w:t>
            </w:r>
          </w:p>
        </w:tc>
      </w:tr>
      <w:tr w:rsidR="00330523" w:rsidRPr="008B39B5">
        <w:tc>
          <w:tcPr>
            <w:tcW w:w="468" w:type="dxa"/>
          </w:tcPr>
          <w:p w:rsidR="00330523" w:rsidRPr="00FA365D" w:rsidRDefault="00330523" w:rsidP="00FA365D">
            <w:pPr>
              <w:numPr>
                <w:ilvl w:val="0"/>
                <w:numId w:val="11"/>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332" w:type="dxa"/>
          </w:tcPr>
          <w:p w:rsidR="00330523" w:rsidRPr="00FA365D" w:rsidRDefault="00330523" w:rsidP="00FA365D">
            <w:pPr>
              <w:tabs>
                <w:tab w:val="left" w:pos="1080"/>
              </w:tabs>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Висновок аудитора (аудиторської фірми) за рік, що передував року, у якому подаються документи.</w:t>
            </w:r>
          </w:p>
        </w:tc>
      </w:tr>
      <w:tr w:rsidR="00330523" w:rsidRPr="008B39B5">
        <w:tc>
          <w:tcPr>
            <w:tcW w:w="468" w:type="dxa"/>
          </w:tcPr>
          <w:p w:rsidR="00330523" w:rsidRPr="00FA365D" w:rsidRDefault="00330523" w:rsidP="00FA365D">
            <w:pPr>
              <w:numPr>
                <w:ilvl w:val="0"/>
                <w:numId w:val="11"/>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332" w:type="dxa"/>
          </w:tcPr>
          <w:p w:rsidR="00330523" w:rsidRPr="00FA365D" w:rsidRDefault="00330523" w:rsidP="00FA365D">
            <w:pPr>
              <w:tabs>
                <w:tab w:val="left" w:pos="1080"/>
              </w:tabs>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У разі випуску облігацій з додатковим забезпеченням ― нотаріально засвідчені копії договорів, що підтверджують відповідне додаткове забезпечення, та фінансова звітність поручителя, гаранта чи страховика за звітний рік, що передував року, у якому подаються документи.</w:t>
            </w:r>
          </w:p>
        </w:tc>
      </w:tr>
      <w:tr w:rsidR="00330523" w:rsidRPr="008B39B5">
        <w:tc>
          <w:tcPr>
            <w:tcW w:w="468" w:type="dxa"/>
          </w:tcPr>
          <w:p w:rsidR="00330523" w:rsidRPr="00FA365D" w:rsidRDefault="00330523" w:rsidP="00FA365D">
            <w:pPr>
              <w:numPr>
                <w:ilvl w:val="0"/>
                <w:numId w:val="11"/>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332" w:type="dxa"/>
          </w:tcPr>
          <w:p w:rsidR="00330523" w:rsidRPr="00FA365D" w:rsidRDefault="00330523" w:rsidP="00FA365D">
            <w:pPr>
              <w:tabs>
                <w:tab w:val="left" w:pos="1080"/>
              </w:tabs>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Якщо умовами розміщення облігацій, емітентом яких є акціонерне товариство, передбачена можливість обміну облігацій на акції ― документи, які підтверджують спроможність емітента виконати зобов’язання щодо виконання ним умов випуску облігацій.</w:t>
            </w:r>
          </w:p>
        </w:tc>
      </w:tr>
      <w:tr w:rsidR="00330523" w:rsidRPr="008B39B5">
        <w:tc>
          <w:tcPr>
            <w:tcW w:w="468" w:type="dxa"/>
          </w:tcPr>
          <w:p w:rsidR="00330523" w:rsidRPr="00FA365D" w:rsidRDefault="00330523" w:rsidP="00FA365D">
            <w:pPr>
              <w:numPr>
                <w:ilvl w:val="0"/>
                <w:numId w:val="11"/>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332" w:type="dxa"/>
          </w:tcPr>
          <w:p w:rsidR="00330523" w:rsidRPr="00FA365D" w:rsidRDefault="00330523" w:rsidP="00FA365D">
            <w:pPr>
              <w:tabs>
                <w:tab w:val="left" w:pos="1080"/>
              </w:tabs>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Звіт одного з уповноважених рейтингових агентств або звіт одного з визнаних Державною комісією з цінних паперів та фондового ринку міжнародних рейтингових агентств щодо рівня кредитного рейтингу відповідного випуску облігацій.</w:t>
            </w:r>
          </w:p>
        </w:tc>
      </w:tr>
      <w:tr w:rsidR="00330523" w:rsidRPr="008B39B5">
        <w:tc>
          <w:tcPr>
            <w:tcW w:w="468" w:type="dxa"/>
          </w:tcPr>
          <w:p w:rsidR="00330523" w:rsidRPr="00FA365D" w:rsidRDefault="00330523" w:rsidP="00FA365D">
            <w:pPr>
              <w:numPr>
                <w:ilvl w:val="0"/>
                <w:numId w:val="11"/>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332" w:type="dxa"/>
          </w:tcPr>
          <w:p w:rsidR="00330523" w:rsidRPr="00FA365D" w:rsidRDefault="00330523" w:rsidP="00FA365D">
            <w:pPr>
              <w:tabs>
                <w:tab w:val="left" w:pos="1080"/>
              </w:tabs>
              <w:spacing w:line="360" w:lineRule="auto"/>
              <w:ind w:firstLine="0"/>
              <w:jc w:val="both"/>
              <w:rPr>
                <w:rFonts w:ascii="Times New Roman" w:hAnsi="Times New Roman" w:cs="Times New Roman"/>
                <w:sz w:val="20"/>
                <w:szCs w:val="20"/>
              </w:rPr>
            </w:pPr>
            <w:r w:rsidRPr="00FA365D">
              <w:rPr>
                <w:rFonts w:ascii="Times New Roman" w:hAnsi="Times New Roman" w:cs="Times New Roman"/>
                <w:sz w:val="20"/>
                <w:szCs w:val="20"/>
              </w:rPr>
              <w:t>Підписаний з боку заявника договір про підтримання лістингу у двох примірниках</w:t>
            </w:r>
          </w:p>
        </w:tc>
      </w:tr>
    </w:tbl>
    <w:p w:rsidR="006E4ECB" w:rsidRDefault="006E4ECB" w:rsidP="006E4ECB">
      <w:pPr>
        <w:spacing w:line="360" w:lineRule="auto"/>
        <w:jc w:val="both"/>
        <w:rPr>
          <w:rFonts w:ascii="Times New Roman" w:hAnsi="Times New Roman" w:cs="Times New Roman"/>
          <w:sz w:val="28"/>
          <w:szCs w:val="28"/>
        </w:rPr>
      </w:pPr>
    </w:p>
    <w:p w:rsidR="00330523" w:rsidRPr="008B39B5" w:rsidRDefault="00330523" w:rsidP="006E4ECB">
      <w:pPr>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Примітки:</w:t>
      </w:r>
      <w:r w:rsidR="006E4ECB">
        <w:rPr>
          <w:rFonts w:ascii="Times New Roman" w:hAnsi="Times New Roman" w:cs="Times New Roman"/>
          <w:sz w:val="28"/>
          <w:szCs w:val="28"/>
        </w:rPr>
        <w:t xml:space="preserve"> </w:t>
      </w:r>
      <w:r w:rsidRPr="008B39B5">
        <w:rPr>
          <w:rFonts w:ascii="Times New Roman" w:hAnsi="Times New Roman" w:cs="Times New Roman"/>
          <w:sz w:val="28"/>
          <w:szCs w:val="28"/>
        </w:rPr>
        <w:t>Заявник несе відповідальність за достовірність інформації, яка міститься в наданих документах, згідно з чинним законодавством України, Правилами УФБ та договором про підтримання лістингу.</w:t>
      </w:r>
    </w:p>
    <w:p w:rsidR="00330523" w:rsidRPr="008B39B5" w:rsidRDefault="00330523" w:rsidP="008B39B5">
      <w:pPr>
        <w:tabs>
          <w:tab w:val="left" w:pos="1080"/>
        </w:tabs>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Всі документи, які нараховують більше одного аркушу, повинні бути пронумеровані, прошнуровані і оформлені належним чином.</w:t>
      </w:r>
    </w:p>
    <w:p w:rsidR="00330523" w:rsidRPr="008B39B5" w:rsidRDefault="006E4ECB" w:rsidP="006E4ECB">
      <w:pPr>
        <w:spacing w:line="360" w:lineRule="auto"/>
        <w:jc w:val="both"/>
        <w:rPr>
          <w:rFonts w:ascii="Times New Roman" w:hAnsi="Times New Roman" w:cs="Times New Roman"/>
          <w:sz w:val="28"/>
          <w:szCs w:val="28"/>
        </w:rPr>
      </w:pPr>
      <w:r>
        <w:rPr>
          <w:rFonts w:ascii="Times New Roman" w:hAnsi="Times New Roman" w:cs="Times New Roman"/>
          <w:sz w:val="28"/>
          <w:szCs w:val="28"/>
        </w:rPr>
        <w:br w:type="page"/>
      </w:r>
      <w:r w:rsidR="00330523" w:rsidRPr="008B39B5">
        <w:rPr>
          <w:rFonts w:ascii="Times New Roman" w:hAnsi="Times New Roman" w:cs="Times New Roman"/>
          <w:sz w:val="28"/>
          <w:szCs w:val="28"/>
        </w:rPr>
        <w:t>Перелік документів, обов’язкових до надання для унесення облігацій внутрішніх місцевих позик до Біржового реєстру УФБ</w:t>
      </w:r>
    </w:p>
    <w:p w:rsidR="00330523" w:rsidRPr="008B39B5" w:rsidRDefault="00330523" w:rsidP="008B39B5">
      <w:pPr>
        <w:numPr>
          <w:ilvl w:val="12"/>
          <w:numId w:val="0"/>
        </w:numPr>
        <w:spacing w:line="360" w:lineRule="auto"/>
        <w:ind w:firstLine="709"/>
        <w:jc w:val="both"/>
        <w:rPr>
          <w:rFonts w:ascii="Times New Roman" w:hAnsi="Times New Roman" w:cs="Times New Roman"/>
          <w:sz w:val="28"/>
          <w:szCs w:val="28"/>
        </w:rPr>
      </w:pPr>
    </w:p>
    <w:tbl>
      <w:tblPr>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58"/>
        <w:gridCol w:w="8150"/>
      </w:tblGrid>
      <w:tr w:rsidR="00330523" w:rsidRPr="008B39B5">
        <w:tc>
          <w:tcPr>
            <w:tcW w:w="658" w:type="dxa"/>
          </w:tcPr>
          <w:p w:rsidR="00330523" w:rsidRPr="006E4ECB" w:rsidRDefault="00330523" w:rsidP="006E4ECB">
            <w:pPr>
              <w:tabs>
                <w:tab w:val="left" w:pos="1080"/>
              </w:tabs>
              <w:spacing w:line="360" w:lineRule="auto"/>
              <w:ind w:firstLine="0"/>
              <w:jc w:val="both"/>
              <w:rPr>
                <w:rFonts w:ascii="Times New Roman" w:hAnsi="Times New Roman" w:cs="Times New Roman"/>
                <w:sz w:val="20"/>
                <w:szCs w:val="20"/>
              </w:rPr>
            </w:pPr>
          </w:p>
        </w:tc>
        <w:tc>
          <w:tcPr>
            <w:tcW w:w="8150" w:type="dxa"/>
          </w:tcPr>
          <w:p w:rsidR="00330523" w:rsidRPr="006E4ECB" w:rsidRDefault="00330523" w:rsidP="006E4ECB">
            <w:pPr>
              <w:tabs>
                <w:tab w:val="left" w:pos="1080"/>
              </w:tabs>
              <w:spacing w:line="360" w:lineRule="auto"/>
              <w:ind w:firstLine="0"/>
              <w:jc w:val="both"/>
              <w:rPr>
                <w:rFonts w:ascii="Times New Roman" w:hAnsi="Times New Roman" w:cs="Times New Roman"/>
                <w:sz w:val="20"/>
                <w:szCs w:val="20"/>
              </w:rPr>
            </w:pPr>
            <w:r w:rsidRPr="006E4ECB">
              <w:rPr>
                <w:rFonts w:ascii="Times New Roman" w:hAnsi="Times New Roman" w:cs="Times New Roman"/>
                <w:sz w:val="20"/>
                <w:szCs w:val="20"/>
              </w:rPr>
              <w:t>Найменування документу</w:t>
            </w:r>
          </w:p>
        </w:tc>
      </w:tr>
      <w:tr w:rsidR="00330523" w:rsidRPr="008B39B5">
        <w:tc>
          <w:tcPr>
            <w:tcW w:w="658" w:type="dxa"/>
          </w:tcPr>
          <w:p w:rsidR="00330523" w:rsidRPr="006E4ECB" w:rsidRDefault="00330523" w:rsidP="006E4ECB">
            <w:pPr>
              <w:numPr>
                <w:ilvl w:val="0"/>
                <w:numId w:val="12"/>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150" w:type="dxa"/>
          </w:tcPr>
          <w:p w:rsidR="00330523" w:rsidRPr="006E4ECB" w:rsidRDefault="00330523" w:rsidP="006E4ECB">
            <w:pPr>
              <w:tabs>
                <w:tab w:val="left" w:pos="1080"/>
              </w:tabs>
              <w:spacing w:line="360" w:lineRule="auto"/>
              <w:ind w:firstLine="0"/>
              <w:jc w:val="both"/>
              <w:rPr>
                <w:rFonts w:ascii="Times New Roman" w:hAnsi="Times New Roman" w:cs="Times New Roman"/>
                <w:sz w:val="20"/>
                <w:szCs w:val="20"/>
              </w:rPr>
            </w:pPr>
            <w:r w:rsidRPr="006E4ECB">
              <w:rPr>
                <w:rFonts w:ascii="Times New Roman" w:hAnsi="Times New Roman" w:cs="Times New Roman"/>
                <w:sz w:val="20"/>
                <w:szCs w:val="20"/>
              </w:rPr>
              <w:t>Копія рішення Ради про здійснення запозичень</w:t>
            </w:r>
            <w:r w:rsidR="008B39B5" w:rsidRPr="006E4ECB">
              <w:rPr>
                <w:rFonts w:ascii="Times New Roman" w:hAnsi="Times New Roman" w:cs="Times New Roman"/>
                <w:sz w:val="20"/>
                <w:szCs w:val="20"/>
              </w:rPr>
              <w:t xml:space="preserve"> </w:t>
            </w:r>
            <w:r w:rsidRPr="006E4ECB">
              <w:rPr>
                <w:rFonts w:ascii="Times New Roman" w:hAnsi="Times New Roman" w:cs="Times New Roman"/>
                <w:sz w:val="20"/>
                <w:szCs w:val="20"/>
              </w:rPr>
              <w:t>у формі випуску облігацій.</w:t>
            </w:r>
          </w:p>
        </w:tc>
      </w:tr>
      <w:tr w:rsidR="00330523" w:rsidRPr="008B39B5">
        <w:tc>
          <w:tcPr>
            <w:tcW w:w="658" w:type="dxa"/>
          </w:tcPr>
          <w:p w:rsidR="00330523" w:rsidRPr="006E4ECB" w:rsidRDefault="00330523" w:rsidP="006E4ECB">
            <w:pPr>
              <w:numPr>
                <w:ilvl w:val="0"/>
                <w:numId w:val="12"/>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150" w:type="dxa"/>
          </w:tcPr>
          <w:p w:rsidR="00330523" w:rsidRPr="006E4ECB" w:rsidRDefault="00330523" w:rsidP="006E4ECB">
            <w:pPr>
              <w:tabs>
                <w:tab w:val="left" w:pos="1080"/>
              </w:tabs>
              <w:spacing w:line="360" w:lineRule="auto"/>
              <w:ind w:firstLine="0"/>
              <w:jc w:val="both"/>
              <w:rPr>
                <w:rFonts w:ascii="Times New Roman" w:hAnsi="Times New Roman" w:cs="Times New Roman"/>
                <w:sz w:val="20"/>
                <w:szCs w:val="20"/>
              </w:rPr>
            </w:pPr>
            <w:r w:rsidRPr="006E4ECB">
              <w:rPr>
                <w:rFonts w:ascii="Times New Roman" w:hAnsi="Times New Roman" w:cs="Times New Roman"/>
                <w:sz w:val="20"/>
                <w:szCs w:val="20"/>
              </w:rPr>
              <w:t>Проспект емісії облігацій за формою згідно чинних нормативних актів ДКЦПФР.</w:t>
            </w:r>
          </w:p>
        </w:tc>
      </w:tr>
      <w:tr w:rsidR="00330523" w:rsidRPr="008B39B5">
        <w:tc>
          <w:tcPr>
            <w:tcW w:w="658" w:type="dxa"/>
          </w:tcPr>
          <w:p w:rsidR="00330523" w:rsidRPr="006E4ECB" w:rsidRDefault="00330523" w:rsidP="006E4ECB">
            <w:pPr>
              <w:numPr>
                <w:ilvl w:val="0"/>
                <w:numId w:val="12"/>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150" w:type="dxa"/>
          </w:tcPr>
          <w:p w:rsidR="00330523" w:rsidRPr="006E4ECB" w:rsidRDefault="00330523" w:rsidP="006E4ECB">
            <w:pPr>
              <w:tabs>
                <w:tab w:val="left" w:pos="1080"/>
              </w:tabs>
              <w:spacing w:line="360" w:lineRule="auto"/>
              <w:ind w:firstLine="0"/>
              <w:jc w:val="both"/>
              <w:rPr>
                <w:rFonts w:ascii="Times New Roman" w:hAnsi="Times New Roman" w:cs="Times New Roman"/>
                <w:sz w:val="20"/>
                <w:szCs w:val="20"/>
              </w:rPr>
            </w:pPr>
            <w:r w:rsidRPr="006E4ECB">
              <w:rPr>
                <w:rFonts w:ascii="Times New Roman" w:hAnsi="Times New Roman" w:cs="Times New Roman"/>
                <w:sz w:val="20"/>
                <w:szCs w:val="20"/>
              </w:rPr>
              <w:t>Копія висновку Міністерства фінансів України щодо відповідності проекту рішення Ради про здійснення запозичень вимогам, установленим бюджетним законодавством.</w:t>
            </w:r>
          </w:p>
        </w:tc>
      </w:tr>
      <w:tr w:rsidR="00330523" w:rsidRPr="008B39B5">
        <w:tc>
          <w:tcPr>
            <w:tcW w:w="658" w:type="dxa"/>
          </w:tcPr>
          <w:p w:rsidR="00330523" w:rsidRPr="006E4ECB" w:rsidRDefault="00330523" w:rsidP="006E4ECB">
            <w:pPr>
              <w:numPr>
                <w:ilvl w:val="0"/>
                <w:numId w:val="12"/>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150" w:type="dxa"/>
          </w:tcPr>
          <w:p w:rsidR="00330523" w:rsidRPr="006E4ECB" w:rsidRDefault="00330523" w:rsidP="006E4ECB">
            <w:pPr>
              <w:tabs>
                <w:tab w:val="left" w:pos="1080"/>
              </w:tabs>
              <w:spacing w:line="360" w:lineRule="auto"/>
              <w:ind w:firstLine="0"/>
              <w:jc w:val="both"/>
              <w:rPr>
                <w:rFonts w:ascii="Times New Roman" w:hAnsi="Times New Roman" w:cs="Times New Roman"/>
                <w:sz w:val="20"/>
                <w:szCs w:val="20"/>
              </w:rPr>
            </w:pPr>
            <w:r w:rsidRPr="006E4ECB">
              <w:rPr>
                <w:rFonts w:ascii="Times New Roman" w:hAnsi="Times New Roman" w:cs="Times New Roman"/>
                <w:sz w:val="20"/>
                <w:szCs w:val="20"/>
              </w:rPr>
              <w:t>Копія свідоцтва про реєстрацію випуску облігацій внутрішньої місцевої позики.</w:t>
            </w:r>
          </w:p>
        </w:tc>
      </w:tr>
      <w:tr w:rsidR="00330523" w:rsidRPr="008B39B5">
        <w:tc>
          <w:tcPr>
            <w:tcW w:w="658" w:type="dxa"/>
          </w:tcPr>
          <w:p w:rsidR="00330523" w:rsidRPr="006E4ECB" w:rsidRDefault="00330523" w:rsidP="006E4ECB">
            <w:pPr>
              <w:numPr>
                <w:ilvl w:val="0"/>
                <w:numId w:val="12"/>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150" w:type="dxa"/>
          </w:tcPr>
          <w:p w:rsidR="00330523" w:rsidRPr="006E4ECB" w:rsidRDefault="00330523" w:rsidP="006E4ECB">
            <w:pPr>
              <w:tabs>
                <w:tab w:val="left" w:pos="1080"/>
              </w:tabs>
              <w:spacing w:line="360" w:lineRule="auto"/>
              <w:ind w:firstLine="0"/>
              <w:jc w:val="both"/>
              <w:rPr>
                <w:rFonts w:ascii="Times New Roman" w:hAnsi="Times New Roman" w:cs="Times New Roman"/>
                <w:sz w:val="20"/>
                <w:szCs w:val="20"/>
              </w:rPr>
            </w:pPr>
            <w:r w:rsidRPr="006E4ECB">
              <w:rPr>
                <w:rFonts w:ascii="Times New Roman" w:hAnsi="Times New Roman" w:cs="Times New Roman"/>
                <w:sz w:val="20"/>
                <w:szCs w:val="20"/>
              </w:rPr>
              <w:t>Копія звіту про виконання відповідного місцевого бюджету за рік, що передує року, в якому приймається рішення про запозичення.</w:t>
            </w:r>
          </w:p>
        </w:tc>
      </w:tr>
      <w:tr w:rsidR="00330523" w:rsidRPr="008B39B5">
        <w:tc>
          <w:tcPr>
            <w:tcW w:w="658" w:type="dxa"/>
          </w:tcPr>
          <w:p w:rsidR="00330523" w:rsidRPr="006E4ECB" w:rsidRDefault="00330523" w:rsidP="006E4ECB">
            <w:pPr>
              <w:numPr>
                <w:ilvl w:val="0"/>
                <w:numId w:val="12"/>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150" w:type="dxa"/>
          </w:tcPr>
          <w:p w:rsidR="00330523" w:rsidRPr="006E4ECB" w:rsidRDefault="00330523" w:rsidP="006E4ECB">
            <w:pPr>
              <w:tabs>
                <w:tab w:val="left" w:pos="1080"/>
              </w:tabs>
              <w:spacing w:line="360" w:lineRule="auto"/>
              <w:ind w:firstLine="0"/>
              <w:jc w:val="both"/>
              <w:rPr>
                <w:rFonts w:ascii="Times New Roman" w:hAnsi="Times New Roman" w:cs="Times New Roman"/>
                <w:sz w:val="20"/>
                <w:szCs w:val="20"/>
              </w:rPr>
            </w:pPr>
            <w:r w:rsidRPr="006E4ECB">
              <w:rPr>
                <w:rFonts w:ascii="Times New Roman" w:hAnsi="Times New Roman" w:cs="Times New Roman"/>
                <w:sz w:val="20"/>
                <w:szCs w:val="20"/>
              </w:rPr>
              <w:t>Анкета цінного паперу.</w:t>
            </w:r>
          </w:p>
        </w:tc>
      </w:tr>
      <w:tr w:rsidR="00330523" w:rsidRPr="008B39B5">
        <w:tc>
          <w:tcPr>
            <w:tcW w:w="658" w:type="dxa"/>
          </w:tcPr>
          <w:p w:rsidR="00330523" w:rsidRPr="006E4ECB" w:rsidRDefault="00330523" w:rsidP="006E4ECB">
            <w:pPr>
              <w:numPr>
                <w:ilvl w:val="0"/>
                <w:numId w:val="12"/>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150" w:type="dxa"/>
          </w:tcPr>
          <w:p w:rsidR="00330523" w:rsidRPr="006E4ECB" w:rsidRDefault="00330523" w:rsidP="006E4ECB">
            <w:pPr>
              <w:tabs>
                <w:tab w:val="left" w:pos="1080"/>
              </w:tabs>
              <w:spacing w:line="360" w:lineRule="auto"/>
              <w:ind w:firstLine="0"/>
              <w:jc w:val="both"/>
              <w:rPr>
                <w:rFonts w:ascii="Times New Roman" w:hAnsi="Times New Roman" w:cs="Times New Roman"/>
                <w:sz w:val="20"/>
                <w:szCs w:val="20"/>
              </w:rPr>
            </w:pPr>
            <w:r w:rsidRPr="006E4ECB">
              <w:rPr>
                <w:rFonts w:ascii="Times New Roman" w:hAnsi="Times New Roman" w:cs="Times New Roman"/>
                <w:sz w:val="20"/>
                <w:szCs w:val="20"/>
              </w:rPr>
              <w:t>Підписаний з боку заявника договір про підтримання лістингу у двох примірниках.</w:t>
            </w:r>
          </w:p>
        </w:tc>
      </w:tr>
    </w:tbl>
    <w:p w:rsidR="006E4ECB" w:rsidRDefault="006E4ECB" w:rsidP="006E4ECB">
      <w:pPr>
        <w:widowControl w:val="0"/>
        <w:spacing w:line="360" w:lineRule="auto"/>
        <w:jc w:val="both"/>
        <w:rPr>
          <w:rFonts w:ascii="Times New Roman" w:hAnsi="Times New Roman" w:cs="Times New Roman"/>
          <w:sz w:val="28"/>
          <w:szCs w:val="28"/>
        </w:rPr>
      </w:pPr>
    </w:p>
    <w:p w:rsidR="00330523" w:rsidRPr="008B39B5" w:rsidRDefault="00330523" w:rsidP="006E4ECB">
      <w:pPr>
        <w:widowControl w:val="0"/>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Примітки:</w:t>
      </w:r>
      <w:r w:rsidR="006E4ECB">
        <w:rPr>
          <w:rFonts w:ascii="Times New Roman" w:hAnsi="Times New Roman" w:cs="Times New Roman"/>
          <w:sz w:val="28"/>
          <w:szCs w:val="28"/>
        </w:rPr>
        <w:t xml:space="preserve"> </w:t>
      </w:r>
      <w:r w:rsidRPr="008B39B5">
        <w:rPr>
          <w:rFonts w:ascii="Times New Roman" w:hAnsi="Times New Roman" w:cs="Times New Roman"/>
          <w:sz w:val="28"/>
          <w:szCs w:val="28"/>
        </w:rPr>
        <w:t xml:space="preserve">Заявник несе відповідальність за достовірність інформації, яка міститься в наданих документах, згідно з чинним законодавством України, Правилами УФБ та договором про підтримання лістингу. </w:t>
      </w:r>
    </w:p>
    <w:p w:rsidR="00330523" w:rsidRPr="008B39B5" w:rsidRDefault="00330523" w:rsidP="008B39B5">
      <w:pPr>
        <w:widowControl w:val="0"/>
        <w:tabs>
          <w:tab w:val="left" w:pos="1080"/>
        </w:tabs>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Всі документи, які нараховують більше одного аркушу, повинні бути пронумеровані, прошнуровані і оформлені належним чином.</w:t>
      </w:r>
    </w:p>
    <w:p w:rsidR="006E4ECB" w:rsidRDefault="006E4ECB" w:rsidP="008B39B5">
      <w:pPr>
        <w:widowControl w:val="0"/>
        <w:numPr>
          <w:ilvl w:val="12"/>
          <w:numId w:val="0"/>
        </w:numPr>
        <w:spacing w:line="360" w:lineRule="auto"/>
        <w:ind w:firstLine="709"/>
        <w:jc w:val="both"/>
        <w:rPr>
          <w:rFonts w:ascii="Times New Roman" w:hAnsi="Times New Roman" w:cs="Times New Roman"/>
          <w:sz w:val="28"/>
          <w:szCs w:val="28"/>
        </w:rPr>
      </w:pPr>
    </w:p>
    <w:p w:rsidR="00330523" w:rsidRPr="008B39B5" w:rsidRDefault="00330523" w:rsidP="008B39B5">
      <w:pPr>
        <w:widowControl w:val="0"/>
        <w:numPr>
          <w:ilvl w:val="12"/>
          <w:numId w:val="0"/>
        </w:numPr>
        <w:spacing w:line="360" w:lineRule="auto"/>
        <w:ind w:firstLine="709"/>
        <w:jc w:val="both"/>
        <w:rPr>
          <w:rFonts w:ascii="Times New Roman" w:hAnsi="Times New Roman" w:cs="Times New Roman"/>
          <w:sz w:val="28"/>
          <w:szCs w:val="28"/>
        </w:rPr>
      </w:pPr>
      <w:r w:rsidRPr="008B39B5">
        <w:rPr>
          <w:rFonts w:ascii="Times New Roman" w:hAnsi="Times New Roman" w:cs="Times New Roman"/>
          <w:sz w:val="28"/>
          <w:szCs w:val="28"/>
        </w:rPr>
        <w:t>Перелік документів, обов’язкових до надання для унесення цінних паперів інститутів спільного інвестування до Біржового реєстру УФБ</w:t>
      </w:r>
    </w:p>
    <w:p w:rsidR="00330523" w:rsidRPr="008B39B5" w:rsidRDefault="00330523" w:rsidP="008B39B5">
      <w:pPr>
        <w:widowControl w:val="0"/>
        <w:spacing w:line="360" w:lineRule="auto"/>
        <w:jc w:val="both"/>
        <w:rPr>
          <w:rFonts w:ascii="Times New Roman" w:hAnsi="Times New Roman" w:cs="Times New Roman"/>
          <w:sz w:val="28"/>
          <w:szCs w:val="28"/>
        </w:rPr>
      </w:pPr>
    </w:p>
    <w:tbl>
      <w:tblPr>
        <w:tblW w:w="0" w:type="auto"/>
        <w:tblInd w:w="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68"/>
        <w:gridCol w:w="8220"/>
      </w:tblGrid>
      <w:tr w:rsidR="00330523" w:rsidRPr="008B39B5">
        <w:tc>
          <w:tcPr>
            <w:tcW w:w="468" w:type="dxa"/>
          </w:tcPr>
          <w:p w:rsidR="00330523" w:rsidRPr="006E4ECB" w:rsidRDefault="00330523" w:rsidP="006E4ECB">
            <w:pPr>
              <w:tabs>
                <w:tab w:val="left" w:pos="1080"/>
              </w:tabs>
              <w:spacing w:line="360" w:lineRule="auto"/>
              <w:ind w:firstLine="0"/>
              <w:jc w:val="both"/>
              <w:rPr>
                <w:rFonts w:ascii="Times New Roman" w:hAnsi="Times New Roman" w:cs="Times New Roman"/>
                <w:sz w:val="20"/>
                <w:szCs w:val="20"/>
              </w:rPr>
            </w:pPr>
            <w:r w:rsidRPr="006E4ECB">
              <w:rPr>
                <w:rFonts w:ascii="Times New Roman" w:hAnsi="Times New Roman" w:cs="Times New Roman"/>
                <w:sz w:val="20"/>
                <w:szCs w:val="20"/>
              </w:rPr>
              <w:t>№</w:t>
            </w:r>
          </w:p>
        </w:tc>
        <w:tc>
          <w:tcPr>
            <w:tcW w:w="8220" w:type="dxa"/>
          </w:tcPr>
          <w:p w:rsidR="00330523" w:rsidRPr="006E4ECB" w:rsidRDefault="00330523" w:rsidP="006E4ECB">
            <w:pPr>
              <w:tabs>
                <w:tab w:val="left" w:pos="1080"/>
              </w:tabs>
              <w:spacing w:line="360" w:lineRule="auto"/>
              <w:ind w:firstLine="0"/>
              <w:jc w:val="both"/>
              <w:rPr>
                <w:rFonts w:ascii="Times New Roman" w:hAnsi="Times New Roman" w:cs="Times New Roman"/>
                <w:sz w:val="20"/>
                <w:szCs w:val="20"/>
              </w:rPr>
            </w:pPr>
            <w:r w:rsidRPr="006E4ECB">
              <w:rPr>
                <w:rFonts w:ascii="Times New Roman" w:hAnsi="Times New Roman" w:cs="Times New Roman"/>
                <w:sz w:val="20"/>
                <w:szCs w:val="20"/>
              </w:rPr>
              <w:t>Найменування документу</w:t>
            </w:r>
          </w:p>
        </w:tc>
      </w:tr>
      <w:tr w:rsidR="00330523" w:rsidRPr="008B39B5">
        <w:tc>
          <w:tcPr>
            <w:tcW w:w="468" w:type="dxa"/>
          </w:tcPr>
          <w:p w:rsidR="00330523" w:rsidRPr="006E4ECB" w:rsidRDefault="00330523" w:rsidP="006E4ECB">
            <w:pPr>
              <w:numPr>
                <w:ilvl w:val="0"/>
                <w:numId w:val="13"/>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220" w:type="dxa"/>
          </w:tcPr>
          <w:p w:rsidR="00330523" w:rsidRPr="006E4ECB" w:rsidRDefault="00330523" w:rsidP="006E4ECB">
            <w:pPr>
              <w:widowControl w:val="0"/>
              <w:tabs>
                <w:tab w:val="left" w:pos="1080"/>
              </w:tabs>
              <w:spacing w:line="360" w:lineRule="auto"/>
              <w:ind w:firstLine="0"/>
              <w:jc w:val="both"/>
              <w:rPr>
                <w:rFonts w:ascii="Times New Roman" w:hAnsi="Times New Roman" w:cs="Times New Roman"/>
                <w:sz w:val="20"/>
                <w:szCs w:val="20"/>
              </w:rPr>
            </w:pPr>
            <w:r w:rsidRPr="006E4ECB">
              <w:rPr>
                <w:rFonts w:ascii="Times New Roman" w:hAnsi="Times New Roman" w:cs="Times New Roman"/>
                <w:sz w:val="20"/>
                <w:szCs w:val="20"/>
              </w:rPr>
              <w:t>Нотаріально засвідчену копію статуту емітента.</w:t>
            </w:r>
          </w:p>
        </w:tc>
      </w:tr>
      <w:tr w:rsidR="00330523" w:rsidRPr="008B39B5">
        <w:tc>
          <w:tcPr>
            <w:tcW w:w="468" w:type="dxa"/>
          </w:tcPr>
          <w:p w:rsidR="00330523" w:rsidRPr="006E4ECB" w:rsidRDefault="00330523" w:rsidP="006E4ECB">
            <w:pPr>
              <w:numPr>
                <w:ilvl w:val="0"/>
                <w:numId w:val="13"/>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220" w:type="dxa"/>
          </w:tcPr>
          <w:p w:rsidR="00330523" w:rsidRPr="006E4ECB" w:rsidRDefault="00330523" w:rsidP="006E4ECB">
            <w:pPr>
              <w:widowControl w:val="0"/>
              <w:tabs>
                <w:tab w:val="left" w:pos="1080"/>
              </w:tabs>
              <w:spacing w:line="360" w:lineRule="auto"/>
              <w:ind w:firstLine="0"/>
              <w:jc w:val="both"/>
              <w:rPr>
                <w:rFonts w:ascii="Times New Roman" w:hAnsi="Times New Roman" w:cs="Times New Roman"/>
                <w:sz w:val="20"/>
                <w:szCs w:val="20"/>
              </w:rPr>
            </w:pPr>
            <w:r w:rsidRPr="006E4ECB">
              <w:rPr>
                <w:rFonts w:ascii="Times New Roman" w:hAnsi="Times New Roman" w:cs="Times New Roman"/>
                <w:sz w:val="20"/>
                <w:szCs w:val="20"/>
              </w:rPr>
              <w:t>Копія свідоцтва про державну реєстрацію емітента</w:t>
            </w:r>
          </w:p>
        </w:tc>
      </w:tr>
      <w:tr w:rsidR="00330523" w:rsidRPr="008B39B5">
        <w:tc>
          <w:tcPr>
            <w:tcW w:w="468" w:type="dxa"/>
          </w:tcPr>
          <w:p w:rsidR="00330523" w:rsidRPr="006E4ECB" w:rsidRDefault="00330523" w:rsidP="006E4ECB">
            <w:pPr>
              <w:numPr>
                <w:ilvl w:val="0"/>
                <w:numId w:val="13"/>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220" w:type="dxa"/>
          </w:tcPr>
          <w:p w:rsidR="00330523" w:rsidRPr="006E4ECB" w:rsidRDefault="00330523" w:rsidP="006E4ECB">
            <w:pPr>
              <w:widowControl w:val="0"/>
              <w:tabs>
                <w:tab w:val="left" w:pos="1080"/>
              </w:tabs>
              <w:spacing w:line="360" w:lineRule="auto"/>
              <w:ind w:firstLine="0"/>
              <w:jc w:val="both"/>
              <w:rPr>
                <w:rFonts w:ascii="Times New Roman" w:hAnsi="Times New Roman" w:cs="Times New Roman"/>
                <w:sz w:val="20"/>
                <w:szCs w:val="20"/>
              </w:rPr>
            </w:pPr>
            <w:r w:rsidRPr="006E4ECB">
              <w:rPr>
                <w:rFonts w:ascii="Times New Roman" w:hAnsi="Times New Roman" w:cs="Times New Roman"/>
                <w:sz w:val="20"/>
                <w:szCs w:val="20"/>
              </w:rPr>
              <w:t>Копія свідоцтва про реєстрацію інвестиційного фонду в ЄДРІСІ.</w:t>
            </w:r>
          </w:p>
        </w:tc>
      </w:tr>
      <w:tr w:rsidR="00330523" w:rsidRPr="008B39B5">
        <w:tc>
          <w:tcPr>
            <w:tcW w:w="468" w:type="dxa"/>
          </w:tcPr>
          <w:p w:rsidR="00330523" w:rsidRPr="006E4ECB" w:rsidRDefault="00330523" w:rsidP="006E4ECB">
            <w:pPr>
              <w:numPr>
                <w:ilvl w:val="0"/>
                <w:numId w:val="13"/>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220" w:type="dxa"/>
          </w:tcPr>
          <w:p w:rsidR="00330523" w:rsidRPr="006E4ECB" w:rsidRDefault="00330523" w:rsidP="006E4ECB">
            <w:pPr>
              <w:widowControl w:val="0"/>
              <w:tabs>
                <w:tab w:val="left" w:pos="1080"/>
              </w:tabs>
              <w:spacing w:line="360" w:lineRule="auto"/>
              <w:ind w:firstLine="0"/>
              <w:jc w:val="both"/>
              <w:rPr>
                <w:rFonts w:ascii="Times New Roman" w:hAnsi="Times New Roman" w:cs="Times New Roman"/>
                <w:sz w:val="20"/>
                <w:szCs w:val="20"/>
              </w:rPr>
            </w:pPr>
            <w:r w:rsidRPr="006E4ECB">
              <w:rPr>
                <w:rFonts w:ascii="Times New Roman" w:hAnsi="Times New Roman" w:cs="Times New Roman"/>
                <w:sz w:val="20"/>
                <w:szCs w:val="20"/>
              </w:rPr>
              <w:t>Копія свідоцтва про реєстрацію випуск цінних паперів.</w:t>
            </w:r>
          </w:p>
        </w:tc>
      </w:tr>
      <w:tr w:rsidR="00330523" w:rsidRPr="008B39B5">
        <w:tc>
          <w:tcPr>
            <w:tcW w:w="468" w:type="dxa"/>
          </w:tcPr>
          <w:p w:rsidR="00330523" w:rsidRPr="006E4ECB" w:rsidRDefault="00330523" w:rsidP="006E4ECB">
            <w:pPr>
              <w:numPr>
                <w:ilvl w:val="0"/>
                <w:numId w:val="13"/>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220" w:type="dxa"/>
          </w:tcPr>
          <w:p w:rsidR="00330523" w:rsidRPr="006E4ECB" w:rsidRDefault="00330523" w:rsidP="006E4ECB">
            <w:pPr>
              <w:widowControl w:val="0"/>
              <w:tabs>
                <w:tab w:val="left" w:pos="1080"/>
              </w:tabs>
              <w:spacing w:line="360" w:lineRule="auto"/>
              <w:ind w:firstLine="0"/>
              <w:jc w:val="both"/>
              <w:rPr>
                <w:rFonts w:ascii="Times New Roman" w:hAnsi="Times New Roman" w:cs="Times New Roman"/>
                <w:sz w:val="20"/>
                <w:szCs w:val="20"/>
              </w:rPr>
            </w:pPr>
            <w:r w:rsidRPr="006E4ECB">
              <w:rPr>
                <w:rFonts w:ascii="Times New Roman" w:hAnsi="Times New Roman" w:cs="Times New Roman"/>
                <w:sz w:val="20"/>
                <w:szCs w:val="20"/>
              </w:rPr>
              <w:t>Нотаріально засвідчену копію договору з компанією з управління активами</w:t>
            </w:r>
            <w:r w:rsidR="008B39B5" w:rsidRPr="006E4ECB">
              <w:rPr>
                <w:rFonts w:ascii="Times New Roman" w:hAnsi="Times New Roman" w:cs="Times New Roman"/>
                <w:sz w:val="20"/>
                <w:szCs w:val="20"/>
              </w:rPr>
              <w:t xml:space="preserve">  </w:t>
            </w:r>
            <w:r w:rsidRPr="006E4ECB">
              <w:rPr>
                <w:rFonts w:ascii="Times New Roman" w:hAnsi="Times New Roman" w:cs="Times New Roman"/>
                <w:sz w:val="20"/>
                <w:szCs w:val="20"/>
              </w:rPr>
              <w:t>інвестиційного фонду.</w:t>
            </w:r>
          </w:p>
        </w:tc>
      </w:tr>
      <w:tr w:rsidR="00330523" w:rsidRPr="008B39B5">
        <w:tc>
          <w:tcPr>
            <w:tcW w:w="468" w:type="dxa"/>
          </w:tcPr>
          <w:p w:rsidR="00330523" w:rsidRPr="006E4ECB" w:rsidRDefault="00330523" w:rsidP="006E4ECB">
            <w:pPr>
              <w:numPr>
                <w:ilvl w:val="0"/>
                <w:numId w:val="13"/>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220" w:type="dxa"/>
          </w:tcPr>
          <w:p w:rsidR="00330523" w:rsidRPr="006E4ECB" w:rsidRDefault="00330523" w:rsidP="006E4ECB">
            <w:pPr>
              <w:widowControl w:val="0"/>
              <w:tabs>
                <w:tab w:val="left" w:pos="1080"/>
              </w:tabs>
              <w:spacing w:line="360" w:lineRule="auto"/>
              <w:ind w:firstLine="0"/>
              <w:jc w:val="both"/>
              <w:rPr>
                <w:rFonts w:ascii="Times New Roman" w:hAnsi="Times New Roman" w:cs="Times New Roman"/>
                <w:sz w:val="20"/>
                <w:szCs w:val="20"/>
              </w:rPr>
            </w:pPr>
            <w:r w:rsidRPr="006E4ECB">
              <w:rPr>
                <w:rFonts w:ascii="Times New Roman" w:hAnsi="Times New Roman" w:cs="Times New Roman"/>
                <w:sz w:val="20"/>
                <w:szCs w:val="20"/>
              </w:rPr>
              <w:t>Проспект емісії цінних паперів інвестиційного фонду.</w:t>
            </w:r>
          </w:p>
        </w:tc>
      </w:tr>
      <w:tr w:rsidR="00330523" w:rsidRPr="008B39B5">
        <w:tc>
          <w:tcPr>
            <w:tcW w:w="468" w:type="dxa"/>
          </w:tcPr>
          <w:p w:rsidR="00330523" w:rsidRPr="006E4ECB" w:rsidRDefault="00330523" w:rsidP="006E4ECB">
            <w:pPr>
              <w:numPr>
                <w:ilvl w:val="0"/>
                <w:numId w:val="13"/>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220" w:type="dxa"/>
          </w:tcPr>
          <w:p w:rsidR="00330523" w:rsidRPr="006E4ECB" w:rsidRDefault="00330523" w:rsidP="006E4ECB">
            <w:pPr>
              <w:widowControl w:val="0"/>
              <w:tabs>
                <w:tab w:val="left" w:pos="1080"/>
              </w:tabs>
              <w:spacing w:line="360" w:lineRule="auto"/>
              <w:ind w:firstLine="0"/>
              <w:jc w:val="both"/>
              <w:rPr>
                <w:rFonts w:ascii="Times New Roman" w:hAnsi="Times New Roman" w:cs="Times New Roman"/>
                <w:sz w:val="20"/>
                <w:szCs w:val="20"/>
              </w:rPr>
            </w:pPr>
            <w:r w:rsidRPr="006E4ECB">
              <w:rPr>
                <w:rFonts w:ascii="Times New Roman" w:hAnsi="Times New Roman" w:cs="Times New Roman"/>
                <w:sz w:val="20"/>
                <w:szCs w:val="20"/>
              </w:rPr>
              <w:t>Анкета цінного паперу.</w:t>
            </w:r>
          </w:p>
        </w:tc>
      </w:tr>
      <w:tr w:rsidR="00330523" w:rsidRPr="008B39B5">
        <w:tc>
          <w:tcPr>
            <w:tcW w:w="468" w:type="dxa"/>
          </w:tcPr>
          <w:p w:rsidR="00330523" w:rsidRPr="006E4ECB" w:rsidRDefault="00330523" w:rsidP="006E4ECB">
            <w:pPr>
              <w:numPr>
                <w:ilvl w:val="0"/>
                <w:numId w:val="13"/>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220" w:type="dxa"/>
          </w:tcPr>
          <w:p w:rsidR="00330523" w:rsidRPr="006E4ECB" w:rsidRDefault="00330523" w:rsidP="006E4ECB">
            <w:pPr>
              <w:widowControl w:val="0"/>
              <w:tabs>
                <w:tab w:val="left" w:pos="1080"/>
              </w:tabs>
              <w:spacing w:line="360" w:lineRule="auto"/>
              <w:ind w:firstLine="0"/>
              <w:jc w:val="both"/>
              <w:rPr>
                <w:rFonts w:ascii="Times New Roman" w:hAnsi="Times New Roman" w:cs="Times New Roman"/>
                <w:sz w:val="20"/>
                <w:szCs w:val="20"/>
              </w:rPr>
            </w:pPr>
            <w:r w:rsidRPr="006E4ECB">
              <w:rPr>
                <w:rFonts w:ascii="Times New Roman" w:hAnsi="Times New Roman" w:cs="Times New Roman"/>
                <w:sz w:val="20"/>
                <w:szCs w:val="20"/>
              </w:rPr>
              <w:t>Баланс та звіт про фінансові результати емітента за станом на останню звітну дату, засвідчені підписами та печатками емітента, компанії з управління активами та аудитора (аудиторської фірми).</w:t>
            </w:r>
          </w:p>
        </w:tc>
      </w:tr>
      <w:tr w:rsidR="00330523" w:rsidRPr="008B39B5">
        <w:tc>
          <w:tcPr>
            <w:tcW w:w="468" w:type="dxa"/>
          </w:tcPr>
          <w:p w:rsidR="00330523" w:rsidRPr="006E4ECB" w:rsidRDefault="00330523" w:rsidP="006E4ECB">
            <w:pPr>
              <w:numPr>
                <w:ilvl w:val="0"/>
                <w:numId w:val="13"/>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220" w:type="dxa"/>
          </w:tcPr>
          <w:p w:rsidR="00330523" w:rsidRPr="006E4ECB" w:rsidRDefault="00330523" w:rsidP="006E4ECB">
            <w:pPr>
              <w:widowControl w:val="0"/>
              <w:tabs>
                <w:tab w:val="left" w:pos="1080"/>
              </w:tabs>
              <w:spacing w:line="360" w:lineRule="auto"/>
              <w:ind w:firstLine="0"/>
              <w:jc w:val="both"/>
              <w:rPr>
                <w:rFonts w:ascii="Times New Roman" w:hAnsi="Times New Roman" w:cs="Times New Roman"/>
                <w:sz w:val="20"/>
                <w:szCs w:val="20"/>
              </w:rPr>
            </w:pPr>
            <w:r w:rsidRPr="006E4ECB">
              <w:rPr>
                <w:rFonts w:ascii="Times New Roman" w:hAnsi="Times New Roman" w:cs="Times New Roman"/>
                <w:sz w:val="20"/>
                <w:szCs w:val="20"/>
              </w:rPr>
              <w:t>Баланс</w:t>
            </w:r>
            <w:r w:rsidR="008B39B5" w:rsidRPr="006E4ECB">
              <w:rPr>
                <w:rFonts w:ascii="Times New Roman" w:hAnsi="Times New Roman" w:cs="Times New Roman"/>
                <w:sz w:val="20"/>
                <w:szCs w:val="20"/>
              </w:rPr>
              <w:t xml:space="preserve"> </w:t>
            </w:r>
            <w:r w:rsidRPr="006E4ECB">
              <w:rPr>
                <w:rFonts w:ascii="Times New Roman" w:hAnsi="Times New Roman" w:cs="Times New Roman"/>
                <w:sz w:val="20"/>
                <w:szCs w:val="20"/>
              </w:rPr>
              <w:t>та</w:t>
            </w:r>
            <w:r w:rsidR="008B39B5" w:rsidRPr="006E4ECB">
              <w:rPr>
                <w:rFonts w:ascii="Times New Roman" w:hAnsi="Times New Roman" w:cs="Times New Roman"/>
                <w:sz w:val="20"/>
                <w:szCs w:val="20"/>
              </w:rPr>
              <w:t xml:space="preserve"> </w:t>
            </w:r>
            <w:r w:rsidRPr="006E4ECB">
              <w:rPr>
                <w:rFonts w:ascii="Times New Roman" w:hAnsi="Times New Roman" w:cs="Times New Roman"/>
                <w:sz w:val="20"/>
                <w:szCs w:val="20"/>
              </w:rPr>
              <w:t>звіт про фінансові результати емітента за рік, що передував року, у якому</w:t>
            </w:r>
            <w:r w:rsidR="008B39B5" w:rsidRPr="006E4ECB">
              <w:rPr>
                <w:rFonts w:ascii="Times New Roman" w:hAnsi="Times New Roman" w:cs="Times New Roman"/>
                <w:sz w:val="20"/>
                <w:szCs w:val="20"/>
              </w:rPr>
              <w:t xml:space="preserve"> </w:t>
            </w:r>
            <w:r w:rsidRPr="006E4ECB">
              <w:rPr>
                <w:rFonts w:ascii="Times New Roman" w:hAnsi="Times New Roman" w:cs="Times New Roman"/>
                <w:sz w:val="20"/>
                <w:szCs w:val="20"/>
              </w:rPr>
              <w:t>подаються</w:t>
            </w:r>
            <w:r w:rsidR="008B39B5" w:rsidRPr="006E4ECB">
              <w:rPr>
                <w:rFonts w:ascii="Times New Roman" w:hAnsi="Times New Roman" w:cs="Times New Roman"/>
                <w:sz w:val="20"/>
                <w:szCs w:val="20"/>
              </w:rPr>
              <w:t xml:space="preserve"> </w:t>
            </w:r>
            <w:r w:rsidRPr="006E4ECB">
              <w:rPr>
                <w:rFonts w:ascii="Times New Roman" w:hAnsi="Times New Roman" w:cs="Times New Roman"/>
                <w:sz w:val="20"/>
                <w:szCs w:val="20"/>
              </w:rPr>
              <w:t>документи,</w:t>
            </w:r>
            <w:r w:rsidR="008B39B5" w:rsidRPr="006E4ECB">
              <w:rPr>
                <w:rFonts w:ascii="Times New Roman" w:hAnsi="Times New Roman" w:cs="Times New Roman"/>
                <w:sz w:val="20"/>
                <w:szCs w:val="20"/>
              </w:rPr>
              <w:t xml:space="preserve"> </w:t>
            </w:r>
            <w:r w:rsidRPr="006E4ECB">
              <w:rPr>
                <w:rFonts w:ascii="Times New Roman" w:hAnsi="Times New Roman" w:cs="Times New Roman"/>
                <w:sz w:val="20"/>
                <w:szCs w:val="20"/>
              </w:rPr>
              <w:t>засвідчені підписами та печатками емітента,</w:t>
            </w:r>
            <w:r w:rsidR="008B39B5" w:rsidRPr="006E4ECB">
              <w:rPr>
                <w:rFonts w:ascii="Times New Roman" w:hAnsi="Times New Roman" w:cs="Times New Roman"/>
                <w:sz w:val="20"/>
                <w:szCs w:val="20"/>
              </w:rPr>
              <w:t xml:space="preserve"> </w:t>
            </w:r>
            <w:r w:rsidRPr="006E4ECB">
              <w:rPr>
                <w:rFonts w:ascii="Times New Roman" w:hAnsi="Times New Roman" w:cs="Times New Roman"/>
                <w:sz w:val="20"/>
                <w:szCs w:val="20"/>
              </w:rPr>
              <w:t>компанії з управління активами</w:t>
            </w:r>
            <w:r w:rsidR="008B39B5" w:rsidRPr="006E4ECB">
              <w:rPr>
                <w:rFonts w:ascii="Times New Roman" w:hAnsi="Times New Roman" w:cs="Times New Roman"/>
                <w:sz w:val="20"/>
                <w:szCs w:val="20"/>
              </w:rPr>
              <w:t xml:space="preserve"> </w:t>
            </w:r>
            <w:r w:rsidRPr="006E4ECB">
              <w:rPr>
                <w:rFonts w:ascii="Times New Roman" w:hAnsi="Times New Roman" w:cs="Times New Roman"/>
                <w:sz w:val="20"/>
                <w:szCs w:val="20"/>
              </w:rPr>
              <w:t>та</w:t>
            </w:r>
            <w:r w:rsidR="008B39B5" w:rsidRPr="006E4ECB">
              <w:rPr>
                <w:rFonts w:ascii="Times New Roman" w:hAnsi="Times New Roman" w:cs="Times New Roman"/>
                <w:sz w:val="20"/>
                <w:szCs w:val="20"/>
              </w:rPr>
              <w:t xml:space="preserve"> </w:t>
            </w:r>
            <w:r w:rsidRPr="006E4ECB">
              <w:rPr>
                <w:rFonts w:ascii="Times New Roman" w:hAnsi="Times New Roman" w:cs="Times New Roman"/>
                <w:sz w:val="20"/>
                <w:szCs w:val="20"/>
              </w:rPr>
              <w:t>висновком аудитора (аудиторської фірми).</w:t>
            </w:r>
          </w:p>
        </w:tc>
      </w:tr>
      <w:tr w:rsidR="00330523" w:rsidRPr="008B39B5">
        <w:tc>
          <w:tcPr>
            <w:tcW w:w="468" w:type="dxa"/>
          </w:tcPr>
          <w:p w:rsidR="00330523" w:rsidRPr="006E4ECB" w:rsidRDefault="00330523" w:rsidP="006E4ECB">
            <w:pPr>
              <w:numPr>
                <w:ilvl w:val="0"/>
                <w:numId w:val="13"/>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220" w:type="dxa"/>
          </w:tcPr>
          <w:p w:rsidR="00330523" w:rsidRPr="006E4ECB" w:rsidRDefault="00330523" w:rsidP="006E4ECB">
            <w:pPr>
              <w:widowControl w:val="0"/>
              <w:tabs>
                <w:tab w:val="left" w:pos="1080"/>
              </w:tabs>
              <w:spacing w:line="360" w:lineRule="auto"/>
              <w:ind w:firstLine="0"/>
              <w:jc w:val="both"/>
              <w:rPr>
                <w:rFonts w:ascii="Times New Roman" w:hAnsi="Times New Roman" w:cs="Times New Roman"/>
                <w:sz w:val="20"/>
                <w:szCs w:val="20"/>
              </w:rPr>
            </w:pPr>
            <w:r w:rsidRPr="006E4ECB">
              <w:rPr>
                <w:rFonts w:ascii="Times New Roman" w:hAnsi="Times New Roman" w:cs="Times New Roman"/>
                <w:sz w:val="20"/>
                <w:szCs w:val="20"/>
              </w:rPr>
              <w:t>Довідку про фінансовий стан за останній фінансовий рік.</w:t>
            </w:r>
          </w:p>
        </w:tc>
      </w:tr>
      <w:tr w:rsidR="00330523" w:rsidRPr="008B39B5">
        <w:tc>
          <w:tcPr>
            <w:tcW w:w="468" w:type="dxa"/>
          </w:tcPr>
          <w:p w:rsidR="00330523" w:rsidRPr="006E4ECB" w:rsidRDefault="00330523" w:rsidP="006E4ECB">
            <w:pPr>
              <w:numPr>
                <w:ilvl w:val="0"/>
                <w:numId w:val="13"/>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220" w:type="dxa"/>
          </w:tcPr>
          <w:p w:rsidR="00330523" w:rsidRPr="006E4ECB" w:rsidRDefault="00330523" w:rsidP="006E4ECB">
            <w:pPr>
              <w:widowControl w:val="0"/>
              <w:tabs>
                <w:tab w:val="left" w:pos="1080"/>
              </w:tabs>
              <w:spacing w:line="360" w:lineRule="auto"/>
              <w:ind w:firstLine="0"/>
              <w:jc w:val="both"/>
              <w:rPr>
                <w:rFonts w:ascii="Times New Roman" w:hAnsi="Times New Roman" w:cs="Times New Roman"/>
                <w:sz w:val="20"/>
                <w:szCs w:val="20"/>
              </w:rPr>
            </w:pPr>
            <w:r w:rsidRPr="006E4ECB">
              <w:rPr>
                <w:rFonts w:ascii="Times New Roman" w:hAnsi="Times New Roman" w:cs="Times New Roman"/>
                <w:sz w:val="20"/>
                <w:szCs w:val="20"/>
              </w:rPr>
              <w:t>Інформацію про попередній випуск цінних паперів.</w:t>
            </w:r>
          </w:p>
        </w:tc>
      </w:tr>
      <w:tr w:rsidR="00330523" w:rsidRPr="008B39B5">
        <w:tc>
          <w:tcPr>
            <w:tcW w:w="468" w:type="dxa"/>
          </w:tcPr>
          <w:p w:rsidR="00330523" w:rsidRPr="006E4ECB" w:rsidRDefault="00330523" w:rsidP="006E4ECB">
            <w:pPr>
              <w:numPr>
                <w:ilvl w:val="0"/>
                <w:numId w:val="13"/>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220" w:type="dxa"/>
          </w:tcPr>
          <w:p w:rsidR="00330523" w:rsidRPr="006E4ECB" w:rsidRDefault="00330523" w:rsidP="006E4ECB">
            <w:pPr>
              <w:widowControl w:val="0"/>
              <w:tabs>
                <w:tab w:val="left" w:pos="1080"/>
              </w:tabs>
              <w:spacing w:line="360" w:lineRule="auto"/>
              <w:ind w:firstLine="0"/>
              <w:jc w:val="both"/>
              <w:rPr>
                <w:rFonts w:ascii="Times New Roman" w:hAnsi="Times New Roman" w:cs="Times New Roman"/>
                <w:sz w:val="20"/>
                <w:szCs w:val="20"/>
              </w:rPr>
            </w:pPr>
            <w:r w:rsidRPr="006E4ECB">
              <w:rPr>
                <w:rFonts w:ascii="Times New Roman" w:hAnsi="Times New Roman" w:cs="Times New Roman"/>
                <w:sz w:val="20"/>
                <w:szCs w:val="20"/>
              </w:rPr>
              <w:t>Нотаріально засвідчену</w:t>
            </w:r>
            <w:r w:rsidR="008B39B5" w:rsidRPr="006E4ECB">
              <w:rPr>
                <w:rFonts w:ascii="Times New Roman" w:hAnsi="Times New Roman" w:cs="Times New Roman"/>
                <w:sz w:val="20"/>
                <w:szCs w:val="20"/>
              </w:rPr>
              <w:t xml:space="preserve"> </w:t>
            </w:r>
            <w:r w:rsidRPr="006E4ECB">
              <w:rPr>
                <w:rFonts w:ascii="Times New Roman" w:hAnsi="Times New Roman" w:cs="Times New Roman"/>
                <w:sz w:val="20"/>
                <w:szCs w:val="20"/>
              </w:rPr>
              <w:t>копію</w:t>
            </w:r>
            <w:r w:rsidR="008B39B5" w:rsidRPr="006E4ECB">
              <w:rPr>
                <w:rFonts w:ascii="Times New Roman" w:hAnsi="Times New Roman" w:cs="Times New Roman"/>
                <w:sz w:val="20"/>
                <w:szCs w:val="20"/>
              </w:rPr>
              <w:t xml:space="preserve"> </w:t>
            </w:r>
            <w:r w:rsidRPr="006E4ECB">
              <w:rPr>
                <w:rFonts w:ascii="Times New Roman" w:hAnsi="Times New Roman" w:cs="Times New Roman"/>
                <w:sz w:val="20"/>
                <w:szCs w:val="20"/>
              </w:rPr>
              <w:t>договору</w:t>
            </w:r>
            <w:r w:rsidR="008B39B5" w:rsidRPr="006E4ECB">
              <w:rPr>
                <w:rFonts w:ascii="Times New Roman" w:hAnsi="Times New Roman" w:cs="Times New Roman"/>
                <w:sz w:val="20"/>
                <w:szCs w:val="20"/>
              </w:rPr>
              <w:t xml:space="preserve"> </w:t>
            </w:r>
            <w:r w:rsidRPr="006E4ECB">
              <w:rPr>
                <w:rFonts w:ascii="Times New Roman" w:hAnsi="Times New Roman" w:cs="Times New Roman"/>
                <w:sz w:val="20"/>
                <w:szCs w:val="20"/>
              </w:rPr>
              <w:t>з депозитарієм.</w:t>
            </w:r>
          </w:p>
        </w:tc>
      </w:tr>
      <w:tr w:rsidR="00330523" w:rsidRPr="008B39B5">
        <w:tc>
          <w:tcPr>
            <w:tcW w:w="468" w:type="dxa"/>
          </w:tcPr>
          <w:p w:rsidR="00330523" w:rsidRPr="006E4ECB" w:rsidRDefault="00330523" w:rsidP="006E4ECB">
            <w:pPr>
              <w:numPr>
                <w:ilvl w:val="0"/>
                <w:numId w:val="13"/>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220" w:type="dxa"/>
          </w:tcPr>
          <w:p w:rsidR="00330523" w:rsidRPr="006E4ECB" w:rsidRDefault="00330523" w:rsidP="006E4ECB">
            <w:pPr>
              <w:widowControl w:val="0"/>
              <w:tabs>
                <w:tab w:val="left" w:pos="1080"/>
              </w:tabs>
              <w:spacing w:line="360" w:lineRule="auto"/>
              <w:ind w:firstLine="0"/>
              <w:jc w:val="both"/>
              <w:rPr>
                <w:rFonts w:ascii="Times New Roman" w:hAnsi="Times New Roman" w:cs="Times New Roman"/>
                <w:sz w:val="20"/>
                <w:szCs w:val="20"/>
              </w:rPr>
            </w:pPr>
            <w:r w:rsidRPr="006E4ECB">
              <w:rPr>
                <w:rFonts w:ascii="Times New Roman" w:hAnsi="Times New Roman" w:cs="Times New Roman"/>
                <w:sz w:val="20"/>
                <w:szCs w:val="20"/>
              </w:rPr>
              <w:t>Баланс та звіт про фінансові результати компанії з управління активами станом на останню звітну дату.</w:t>
            </w:r>
          </w:p>
        </w:tc>
      </w:tr>
      <w:tr w:rsidR="00330523" w:rsidRPr="008B39B5">
        <w:tc>
          <w:tcPr>
            <w:tcW w:w="468" w:type="dxa"/>
          </w:tcPr>
          <w:p w:rsidR="00330523" w:rsidRPr="006E4ECB" w:rsidRDefault="00330523" w:rsidP="006E4ECB">
            <w:pPr>
              <w:numPr>
                <w:ilvl w:val="0"/>
                <w:numId w:val="13"/>
              </w:numPr>
              <w:tabs>
                <w:tab w:val="left" w:pos="1080"/>
              </w:tabs>
              <w:overflowPunct w:val="0"/>
              <w:spacing w:line="360" w:lineRule="auto"/>
              <w:ind w:left="0" w:firstLine="0"/>
              <w:jc w:val="both"/>
              <w:textAlignment w:val="baseline"/>
              <w:rPr>
                <w:rFonts w:ascii="Times New Roman" w:hAnsi="Times New Roman" w:cs="Times New Roman"/>
                <w:sz w:val="20"/>
                <w:szCs w:val="20"/>
              </w:rPr>
            </w:pPr>
          </w:p>
        </w:tc>
        <w:tc>
          <w:tcPr>
            <w:tcW w:w="8220" w:type="dxa"/>
          </w:tcPr>
          <w:p w:rsidR="00330523" w:rsidRPr="006E4ECB" w:rsidRDefault="00330523" w:rsidP="006E4ECB">
            <w:pPr>
              <w:widowControl w:val="0"/>
              <w:tabs>
                <w:tab w:val="left" w:pos="1080"/>
              </w:tabs>
              <w:spacing w:line="360" w:lineRule="auto"/>
              <w:ind w:firstLine="0"/>
              <w:jc w:val="both"/>
              <w:rPr>
                <w:rFonts w:ascii="Times New Roman" w:hAnsi="Times New Roman" w:cs="Times New Roman"/>
                <w:sz w:val="20"/>
                <w:szCs w:val="20"/>
              </w:rPr>
            </w:pPr>
            <w:r w:rsidRPr="006E4ECB">
              <w:rPr>
                <w:rFonts w:ascii="Times New Roman" w:hAnsi="Times New Roman" w:cs="Times New Roman"/>
                <w:sz w:val="20"/>
                <w:szCs w:val="20"/>
              </w:rPr>
              <w:t>Підписаний з боку заявника договір про підтримання лістингу у двох примірниках.</w:t>
            </w:r>
          </w:p>
        </w:tc>
      </w:tr>
    </w:tbl>
    <w:p w:rsidR="006E4ECB" w:rsidRDefault="006E4ECB" w:rsidP="006E4ECB">
      <w:pPr>
        <w:widowControl w:val="0"/>
        <w:spacing w:line="360" w:lineRule="auto"/>
        <w:jc w:val="both"/>
        <w:rPr>
          <w:rFonts w:ascii="Times New Roman" w:hAnsi="Times New Roman" w:cs="Times New Roman"/>
          <w:sz w:val="28"/>
          <w:szCs w:val="28"/>
        </w:rPr>
      </w:pPr>
    </w:p>
    <w:p w:rsidR="00330523" w:rsidRPr="008B39B5" w:rsidRDefault="00330523" w:rsidP="006E4ECB">
      <w:pPr>
        <w:widowControl w:val="0"/>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Примітки:</w:t>
      </w:r>
      <w:r w:rsidR="006E4ECB">
        <w:rPr>
          <w:rFonts w:ascii="Times New Roman" w:hAnsi="Times New Roman" w:cs="Times New Roman"/>
          <w:sz w:val="28"/>
          <w:szCs w:val="28"/>
        </w:rPr>
        <w:t xml:space="preserve"> </w:t>
      </w:r>
      <w:r w:rsidRPr="008B39B5">
        <w:rPr>
          <w:rFonts w:ascii="Times New Roman" w:hAnsi="Times New Roman" w:cs="Times New Roman"/>
          <w:sz w:val="28"/>
          <w:szCs w:val="28"/>
        </w:rPr>
        <w:t xml:space="preserve">Заявник несе відповідальність за достовірність інформації, яка міститься в наданих документах, згідно з чинним законодавством України, Правилами УФБ та договором про підтримання лістингу. </w:t>
      </w:r>
    </w:p>
    <w:p w:rsidR="00330523" w:rsidRDefault="00330523" w:rsidP="008B39B5">
      <w:pPr>
        <w:widowControl w:val="0"/>
        <w:tabs>
          <w:tab w:val="left" w:pos="1080"/>
        </w:tabs>
        <w:spacing w:line="360" w:lineRule="auto"/>
        <w:jc w:val="both"/>
        <w:rPr>
          <w:rFonts w:ascii="Times New Roman" w:hAnsi="Times New Roman" w:cs="Times New Roman"/>
          <w:sz w:val="28"/>
          <w:szCs w:val="28"/>
        </w:rPr>
      </w:pPr>
      <w:r w:rsidRPr="008B39B5">
        <w:rPr>
          <w:rFonts w:ascii="Times New Roman" w:hAnsi="Times New Roman" w:cs="Times New Roman"/>
          <w:sz w:val="28"/>
          <w:szCs w:val="28"/>
        </w:rPr>
        <w:t>Всі документи, які нараховують більше одного аркушу, повинні бути пронумеровані, прошнуровані і оформлені належним чином.</w:t>
      </w:r>
    </w:p>
    <w:p w:rsidR="006E4ECB" w:rsidRPr="00B074ED" w:rsidRDefault="006E4ECB" w:rsidP="008B39B5">
      <w:pPr>
        <w:widowControl w:val="0"/>
        <w:tabs>
          <w:tab w:val="left" w:pos="1080"/>
        </w:tabs>
        <w:spacing w:line="360" w:lineRule="auto"/>
        <w:jc w:val="both"/>
        <w:rPr>
          <w:rFonts w:ascii="Times New Roman" w:hAnsi="Times New Roman" w:cs="Times New Roman"/>
          <w:color w:val="FFFFFF"/>
          <w:sz w:val="28"/>
          <w:szCs w:val="28"/>
        </w:rPr>
      </w:pPr>
      <w:bookmarkStart w:id="10" w:name="_GoBack"/>
      <w:bookmarkEnd w:id="10"/>
    </w:p>
    <w:sectPr w:rsidR="006E4ECB" w:rsidRPr="00B074ED" w:rsidSect="008B39B5">
      <w:headerReference w:type="default" r:id="rId8"/>
      <w:pgSz w:w="11906" w:h="16838"/>
      <w:pgMar w:top="1134" w:right="850" w:bottom="1134" w:left="1701" w:header="720" w:footer="72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5BF" w:rsidRDefault="001255BF" w:rsidP="00347C2B">
      <w:pPr>
        <w:spacing w:line="240" w:lineRule="auto"/>
      </w:pPr>
      <w:r>
        <w:separator/>
      </w:r>
    </w:p>
  </w:endnote>
  <w:endnote w:type="continuationSeparator" w:id="0">
    <w:p w:rsidR="001255BF" w:rsidRDefault="001255BF" w:rsidP="00347C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5BF" w:rsidRDefault="001255BF" w:rsidP="00347C2B">
      <w:pPr>
        <w:spacing w:line="240" w:lineRule="auto"/>
      </w:pPr>
      <w:r>
        <w:separator/>
      </w:r>
    </w:p>
  </w:footnote>
  <w:footnote w:type="continuationSeparator" w:id="0">
    <w:p w:rsidR="001255BF" w:rsidRDefault="001255BF" w:rsidP="00347C2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2BF" w:rsidRDefault="009752C0">
    <w:pPr>
      <w:pStyle w:val="ad"/>
      <w:jc w:val="right"/>
    </w:pPr>
    <w:r>
      <w:rPr>
        <w:rFonts w:ascii="Times New Roman" w:hAnsi="Times New Roman" w:cs="Times New Roman"/>
        <w:b/>
        <w:bCs/>
        <w:noProof/>
        <w:sz w:val="24"/>
        <w:szCs w:val="24"/>
      </w:rPr>
      <w:t>1</w:t>
    </w:r>
  </w:p>
  <w:p w:rsidR="00AB02BF" w:rsidRPr="00B074ED" w:rsidRDefault="00AB02BF" w:rsidP="00B074ED">
    <w:pPr>
      <w:pStyle w:val="ad"/>
      <w:jc w:val="cent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A0EC6"/>
    <w:multiLevelType w:val="hybridMultilevel"/>
    <w:tmpl w:val="24F411B4"/>
    <w:lvl w:ilvl="0" w:tplc="203886A0">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
    <w:nsid w:val="133510F8"/>
    <w:multiLevelType w:val="hybridMultilevel"/>
    <w:tmpl w:val="74BE0B18"/>
    <w:lvl w:ilvl="0" w:tplc="0419000D">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
    <w:nsid w:val="146A5AC4"/>
    <w:multiLevelType w:val="hybridMultilevel"/>
    <w:tmpl w:val="B0A2CF58"/>
    <w:lvl w:ilvl="0" w:tplc="04220013">
      <w:start w:val="1"/>
      <w:numFmt w:val="upperRoman"/>
      <w:lvlText w:val="%1."/>
      <w:lvlJc w:val="righ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nsid w:val="1590746E"/>
    <w:multiLevelType w:val="hybridMultilevel"/>
    <w:tmpl w:val="CA22F21C"/>
    <w:lvl w:ilvl="0" w:tplc="F51E329A">
      <w:start w:val="1"/>
      <w:numFmt w:val="bullet"/>
      <w:lvlText w:val=""/>
      <w:lvlJc w:val="left"/>
      <w:pPr>
        <w:ind w:left="1429" w:hanging="360"/>
      </w:pPr>
      <w:rPr>
        <w:rFonts w:ascii="Wingdings" w:hAnsi="Wingdings" w:cs="Wingdings" w:hint="default"/>
        <w:spacing w:val="0"/>
        <w:w w:val="100"/>
        <w:kern w:val="0"/>
        <w:position w:val="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
    <w:nsid w:val="176B29B1"/>
    <w:multiLevelType w:val="multilevel"/>
    <w:tmpl w:val="43E2B3F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84C55B0"/>
    <w:multiLevelType w:val="hybridMultilevel"/>
    <w:tmpl w:val="F28EF4C8"/>
    <w:lvl w:ilvl="0" w:tplc="D0F4C160">
      <w:start w:val="1"/>
      <w:numFmt w:val="decimal"/>
      <w:lvlText w:val="%1."/>
      <w:lvlJc w:val="left"/>
      <w:pPr>
        <w:tabs>
          <w:tab w:val="num" w:pos="1979"/>
        </w:tabs>
        <w:ind w:left="1979" w:hanging="360"/>
      </w:pPr>
      <w:rPr>
        <w:rFonts w:hint="default"/>
      </w:rPr>
    </w:lvl>
    <w:lvl w:ilvl="1" w:tplc="04190019">
      <w:start w:val="1"/>
      <w:numFmt w:val="lowerLetter"/>
      <w:lvlText w:val="%2."/>
      <w:lvlJc w:val="left"/>
      <w:pPr>
        <w:tabs>
          <w:tab w:val="num" w:pos="1979"/>
        </w:tabs>
        <w:ind w:left="1979" w:hanging="360"/>
      </w:pPr>
    </w:lvl>
    <w:lvl w:ilvl="2" w:tplc="0419001B">
      <w:start w:val="1"/>
      <w:numFmt w:val="lowerRoman"/>
      <w:lvlText w:val="%3."/>
      <w:lvlJc w:val="right"/>
      <w:pPr>
        <w:tabs>
          <w:tab w:val="num" w:pos="2699"/>
        </w:tabs>
        <w:ind w:left="2699" w:hanging="180"/>
      </w:pPr>
    </w:lvl>
    <w:lvl w:ilvl="3" w:tplc="0419000F">
      <w:start w:val="1"/>
      <w:numFmt w:val="decimal"/>
      <w:lvlText w:val="%4."/>
      <w:lvlJc w:val="left"/>
      <w:pPr>
        <w:tabs>
          <w:tab w:val="num" w:pos="3419"/>
        </w:tabs>
        <w:ind w:left="3419" w:hanging="360"/>
      </w:pPr>
    </w:lvl>
    <w:lvl w:ilvl="4" w:tplc="04190019">
      <w:start w:val="1"/>
      <w:numFmt w:val="lowerLetter"/>
      <w:lvlText w:val="%5."/>
      <w:lvlJc w:val="left"/>
      <w:pPr>
        <w:tabs>
          <w:tab w:val="num" w:pos="4139"/>
        </w:tabs>
        <w:ind w:left="4139" w:hanging="360"/>
      </w:pPr>
    </w:lvl>
    <w:lvl w:ilvl="5" w:tplc="0419001B">
      <w:start w:val="1"/>
      <w:numFmt w:val="lowerRoman"/>
      <w:lvlText w:val="%6."/>
      <w:lvlJc w:val="right"/>
      <w:pPr>
        <w:tabs>
          <w:tab w:val="num" w:pos="4859"/>
        </w:tabs>
        <w:ind w:left="4859" w:hanging="180"/>
      </w:pPr>
    </w:lvl>
    <w:lvl w:ilvl="6" w:tplc="0419000F">
      <w:start w:val="1"/>
      <w:numFmt w:val="decimal"/>
      <w:lvlText w:val="%7."/>
      <w:lvlJc w:val="left"/>
      <w:pPr>
        <w:tabs>
          <w:tab w:val="num" w:pos="5579"/>
        </w:tabs>
        <w:ind w:left="5579" w:hanging="360"/>
      </w:pPr>
    </w:lvl>
    <w:lvl w:ilvl="7" w:tplc="04190019">
      <w:start w:val="1"/>
      <w:numFmt w:val="lowerLetter"/>
      <w:lvlText w:val="%8."/>
      <w:lvlJc w:val="left"/>
      <w:pPr>
        <w:tabs>
          <w:tab w:val="num" w:pos="6299"/>
        </w:tabs>
        <w:ind w:left="6299" w:hanging="360"/>
      </w:pPr>
    </w:lvl>
    <w:lvl w:ilvl="8" w:tplc="0419001B">
      <w:start w:val="1"/>
      <w:numFmt w:val="lowerRoman"/>
      <w:lvlText w:val="%9."/>
      <w:lvlJc w:val="right"/>
      <w:pPr>
        <w:tabs>
          <w:tab w:val="num" w:pos="7019"/>
        </w:tabs>
        <w:ind w:left="7019" w:hanging="180"/>
      </w:pPr>
    </w:lvl>
  </w:abstractNum>
  <w:abstractNum w:abstractNumId="6">
    <w:nsid w:val="185A6AAB"/>
    <w:multiLevelType w:val="hybridMultilevel"/>
    <w:tmpl w:val="A4AAA2C4"/>
    <w:lvl w:ilvl="0" w:tplc="E11441F2">
      <w:start w:val="1"/>
      <w:numFmt w:val="decimal"/>
      <w:lvlText w:val="%1."/>
      <w:lvlJc w:val="left"/>
      <w:pPr>
        <w:ind w:left="1020" w:hanging="360"/>
      </w:pPr>
      <w:rPr>
        <w:b w:val="0"/>
        <w:bCs w:val="0"/>
      </w:rPr>
    </w:lvl>
    <w:lvl w:ilvl="1" w:tplc="04190019">
      <w:start w:val="1"/>
      <w:numFmt w:val="lowerLetter"/>
      <w:lvlText w:val="%2."/>
      <w:lvlJc w:val="left"/>
      <w:pPr>
        <w:ind w:left="1740" w:hanging="360"/>
      </w:pPr>
    </w:lvl>
    <w:lvl w:ilvl="2" w:tplc="0419001B">
      <w:start w:val="1"/>
      <w:numFmt w:val="lowerRoman"/>
      <w:lvlText w:val="%3."/>
      <w:lvlJc w:val="right"/>
      <w:pPr>
        <w:ind w:left="2460" w:hanging="180"/>
      </w:pPr>
    </w:lvl>
    <w:lvl w:ilvl="3" w:tplc="0419000F">
      <w:start w:val="1"/>
      <w:numFmt w:val="decimal"/>
      <w:lvlText w:val="%4."/>
      <w:lvlJc w:val="left"/>
      <w:pPr>
        <w:ind w:left="3180" w:hanging="360"/>
      </w:pPr>
    </w:lvl>
    <w:lvl w:ilvl="4" w:tplc="04190019">
      <w:start w:val="1"/>
      <w:numFmt w:val="lowerLetter"/>
      <w:lvlText w:val="%5."/>
      <w:lvlJc w:val="left"/>
      <w:pPr>
        <w:ind w:left="3900" w:hanging="360"/>
      </w:pPr>
    </w:lvl>
    <w:lvl w:ilvl="5" w:tplc="0419001B">
      <w:start w:val="1"/>
      <w:numFmt w:val="lowerRoman"/>
      <w:lvlText w:val="%6."/>
      <w:lvlJc w:val="right"/>
      <w:pPr>
        <w:ind w:left="4620" w:hanging="180"/>
      </w:pPr>
    </w:lvl>
    <w:lvl w:ilvl="6" w:tplc="0419000F">
      <w:start w:val="1"/>
      <w:numFmt w:val="decimal"/>
      <w:lvlText w:val="%7."/>
      <w:lvlJc w:val="left"/>
      <w:pPr>
        <w:ind w:left="5340" w:hanging="360"/>
      </w:pPr>
    </w:lvl>
    <w:lvl w:ilvl="7" w:tplc="04190019">
      <w:start w:val="1"/>
      <w:numFmt w:val="lowerLetter"/>
      <w:lvlText w:val="%8."/>
      <w:lvlJc w:val="left"/>
      <w:pPr>
        <w:ind w:left="6060" w:hanging="360"/>
      </w:pPr>
    </w:lvl>
    <w:lvl w:ilvl="8" w:tplc="0419001B">
      <w:start w:val="1"/>
      <w:numFmt w:val="lowerRoman"/>
      <w:lvlText w:val="%9."/>
      <w:lvlJc w:val="right"/>
      <w:pPr>
        <w:ind w:left="6780" w:hanging="180"/>
      </w:pPr>
    </w:lvl>
  </w:abstractNum>
  <w:abstractNum w:abstractNumId="7">
    <w:nsid w:val="1C5A5A45"/>
    <w:multiLevelType w:val="multilevel"/>
    <w:tmpl w:val="95426E2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20C67DEF"/>
    <w:multiLevelType w:val="hybridMultilevel"/>
    <w:tmpl w:val="32CC452C"/>
    <w:lvl w:ilvl="0" w:tplc="7CBCA6EC">
      <w:start w:val="1"/>
      <w:numFmt w:val="decimal"/>
      <w:lvlText w:val="%1."/>
      <w:lvlJc w:val="left"/>
      <w:pPr>
        <w:ind w:left="144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301039E"/>
    <w:multiLevelType w:val="multilevel"/>
    <w:tmpl w:val="FDE608A4"/>
    <w:lvl w:ilvl="0">
      <w:start w:val="1"/>
      <w:numFmt w:val="bullet"/>
      <w:lvlText w:val=""/>
      <w:lvlJc w:val="left"/>
      <w:pPr>
        <w:tabs>
          <w:tab w:val="num" w:pos="720"/>
        </w:tabs>
        <w:ind w:left="720" w:hanging="360"/>
      </w:pPr>
      <w:rPr>
        <w:rFonts w:ascii="Wingdings" w:hAnsi="Wingdings" w:cs="Wingdings" w:hint="default"/>
        <w:b/>
        <w:bCs/>
        <w:sz w:val="28"/>
        <w:szCs w:val="28"/>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2441017C"/>
    <w:multiLevelType w:val="hybridMultilevel"/>
    <w:tmpl w:val="2B12D86E"/>
    <w:lvl w:ilvl="0" w:tplc="4782D716">
      <w:start w:val="1"/>
      <w:numFmt w:val="decimal"/>
      <w:lvlText w:val="%1."/>
      <w:lvlJc w:val="left"/>
      <w:pPr>
        <w:tabs>
          <w:tab w:val="num" w:pos="3960"/>
        </w:tabs>
        <w:ind w:left="3960" w:hanging="360"/>
      </w:pPr>
      <w:rPr>
        <w:rFonts w:hint="default"/>
      </w:rPr>
    </w:lvl>
    <w:lvl w:ilvl="1" w:tplc="04190019">
      <w:start w:val="1"/>
      <w:numFmt w:val="lowerLetter"/>
      <w:lvlText w:val="%2."/>
      <w:lvlJc w:val="left"/>
      <w:pPr>
        <w:tabs>
          <w:tab w:val="num" w:pos="4473"/>
        </w:tabs>
        <w:ind w:left="4473" w:hanging="360"/>
      </w:pPr>
    </w:lvl>
    <w:lvl w:ilvl="2" w:tplc="0419001B">
      <w:start w:val="1"/>
      <w:numFmt w:val="lowerRoman"/>
      <w:lvlText w:val="%3."/>
      <w:lvlJc w:val="right"/>
      <w:pPr>
        <w:tabs>
          <w:tab w:val="num" w:pos="5193"/>
        </w:tabs>
        <w:ind w:left="5193" w:hanging="180"/>
      </w:pPr>
    </w:lvl>
    <w:lvl w:ilvl="3" w:tplc="0419000F">
      <w:start w:val="1"/>
      <w:numFmt w:val="decimal"/>
      <w:lvlText w:val="%4."/>
      <w:lvlJc w:val="left"/>
      <w:pPr>
        <w:tabs>
          <w:tab w:val="num" w:pos="5913"/>
        </w:tabs>
        <w:ind w:left="5913" w:hanging="360"/>
      </w:pPr>
    </w:lvl>
    <w:lvl w:ilvl="4" w:tplc="04190019">
      <w:start w:val="1"/>
      <w:numFmt w:val="lowerLetter"/>
      <w:lvlText w:val="%5."/>
      <w:lvlJc w:val="left"/>
      <w:pPr>
        <w:tabs>
          <w:tab w:val="num" w:pos="6633"/>
        </w:tabs>
        <w:ind w:left="6633" w:hanging="360"/>
      </w:pPr>
    </w:lvl>
    <w:lvl w:ilvl="5" w:tplc="0419001B">
      <w:start w:val="1"/>
      <w:numFmt w:val="lowerRoman"/>
      <w:lvlText w:val="%6."/>
      <w:lvlJc w:val="right"/>
      <w:pPr>
        <w:tabs>
          <w:tab w:val="num" w:pos="7353"/>
        </w:tabs>
        <w:ind w:left="7353" w:hanging="180"/>
      </w:pPr>
    </w:lvl>
    <w:lvl w:ilvl="6" w:tplc="0419000F">
      <w:start w:val="1"/>
      <w:numFmt w:val="decimal"/>
      <w:lvlText w:val="%7."/>
      <w:lvlJc w:val="left"/>
      <w:pPr>
        <w:tabs>
          <w:tab w:val="num" w:pos="8073"/>
        </w:tabs>
        <w:ind w:left="8073" w:hanging="360"/>
      </w:pPr>
    </w:lvl>
    <w:lvl w:ilvl="7" w:tplc="04190019">
      <w:start w:val="1"/>
      <w:numFmt w:val="lowerLetter"/>
      <w:lvlText w:val="%8."/>
      <w:lvlJc w:val="left"/>
      <w:pPr>
        <w:tabs>
          <w:tab w:val="num" w:pos="8793"/>
        </w:tabs>
        <w:ind w:left="8793" w:hanging="360"/>
      </w:pPr>
    </w:lvl>
    <w:lvl w:ilvl="8" w:tplc="0419001B">
      <w:start w:val="1"/>
      <w:numFmt w:val="lowerRoman"/>
      <w:lvlText w:val="%9."/>
      <w:lvlJc w:val="right"/>
      <w:pPr>
        <w:tabs>
          <w:tab w:val="num" w:pos="9513"/>
        </w:tabs>
        <w:ind w:left="9513" w:hanging="180"/>
      </w:pPr>
    </w:lvl>
  </w:abstractNum>
  <w:abstractNum w:abstractNumId="11">
    <w:nsid w:val="2822507B"/>
    <w:multiLevelType w:val="hybridMultilevel"/>
    <w:tmpl w:val="795AF04A"/>
    <w:lvl w:ilvl="0" w:tplc="0419000D">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2">
    <w:nsid w:val="29FC69A3"/>
    <w:multiLevelType w:val="multilevel"/>
    <w:tmpl w:val="A6E8BD8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352102A4"/>
    <w:multiLevelType w:val="hybridMultilevel"/>
    <w:tmpl w:val="BD86598C"/>
    <w:lvl w:ilvl="0" w:tplc="0422000F">
      <w:start w:val="1"/>
      <w:numFmt w:val="decimal"/>
      <w:lvlText w:val="%1."/>
      <w:lvlJc w:val="left"/>
      <w:pPr>
        <w:ind w:left="1440" w:hanging="360"/>
      </w:pPr>
    </w:lvl>
    <w:lvl w:ilvl="1" w:tplc="04220019">
      <w:start w:val="1"/>
      <w:numFmt w:val="lowerLetter"/>
      <w:lvlText w:val="%2."/>
      <w:lvlJc w:val="left"/>
      <w:pPr>
        <w:ind w:left="2160" w:hanging="360"/>
      </w:pPr>
    </w:lvl>
    <w:lvl w:ilvl="2" w:tplc="0422001B">
      <w:start w:val="1"/>
      <w:numFmt w:val="lowerRoman"/>
      <w:lvlText w:val="%3."/>
      <w:lvlJc w:val="right"/>
      <w:pPr>
        <w:ind w:left="2880" w:hanging="180"/>
      </w:pPr>
    </w:lvl>
    <w:lvl w:ilvl="3" w:tplc="0422000F">
      <w:start w:val="1"/>
      <w:numFmt w:val="decimal"/>
      <w:lvlText w:val="%4."/>
      <w:lvlJc w:val="left"/>
      <w:pPr>
        <w:ind w:left="3600" w:hanging="360"/>
      </w:pPr>
    </w:lvl>
    <w:lvl w:ilvl="4" w:tplc="04220019">
      <w:start w:val="1"/>
      <w:numFmt w:val="lowerLetter"/>
      <w:lvlText w:val="%5."/>
      <w:lvlJc w:val="left"/>
      <w:pPr>
        <w:ind w:left="4320" w:hanging="360"/>
      </w:pPr>
    </w:lvl>
    <w:lvl w:ilvl="5" w:tplc="0422001B">
      <w:start w:val="1"/>
      <w:numFmt w:val="lowerRoman"/>
      <w:lvlText w:val="%6."/>
      <w:lvlJc w:val="right"/>
      <w:pPr>
        <w:ind w:left="5040" w:hanging="180"/>
      </w:pPr>
    </w:lvl>
    <w:lvl w:ilvl="6" w:tplc="0422000F">
      <w:start w:val="1"/>
      <w:numFmt w:val="decimal"/>
      <w:lvlText w:val="%7."/>
      <w:lvlJc w:val="left"/>
      <w:pPr>
        <w:ind w:left="5760" w:hanging="360"/>
      </w:pPr>
    </w:lvl>
    <w:lvl w:ilvl="7" w:tplc="04220019">
      <w:start w:val="1"/>
      <w:numFmt w:val="lowerLetter"/>
      <w:lvlText w:val="%8."/>
      <w:lvlJc w:val="left"/>
      <w:pPr>
        <w:ind w:left="6480" w:hanging="360"/>
      </w:pPr>
    </w:lvl>
    <w:lvl w:ilvl="8" w:tplc="0422001B">
      <w:start w:val="1"/>
      <w:numFmt w:val="lowerRoman"/>
      <w:lvlText w:val="%9."/>
      <w:lvlJc w:val="right"/>
      <w:pPr>
        <w:ind w:left="7200" w:hanging="180"/>
      </w:pPr>
    </w:lvl>
  </w:abstractNum>
  <w:abstractNum w:abstractNumId="14">
    <w:nsid w:val="37D238AF"/>
    <w:multiLevelType w:val="hybridMultilevel"/>
    <w:tmpl w:val="AF34F5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83E648C"/>
    <w:multiLevelType w:val="multilevel"/>
    <w:tmpl w:val="311A193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6">
    <w:nsid w:val="39A95724"/>
    <w:multiLevelType w:val="hybridMultilevel"/>
    <w:tmpl w:val="AC0CFC5A"/>
    <w:lvl w:ilvl="0" w:tplc="0419000D">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
    <w:nsid w:val="3D4F4D41"/>
    <w:multiLevelType w:val="hybridMultilevel"/>
    <w:tmpl w:val="13E0C674"/>
    <w:lvl w:ilvl="0" w:tplc="C2188810">
      <w:start w:val="1"/>
      <w:numFmt w:val="decimal"/>
      <w:lvlText w:val="%1."/>
      <w:lvlJc w:val="left"/>
      <w:pPr>
        <w:ind w:left="720" w:hanging="360"/>
      </w:pPr>
      <w:rPr>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D646B20"/>
    <w:multiLevelType w:val="multilevel"/>
    <w:tmpl w:val="E4B23FC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3F490F62"/>
    <w:multiLevelType w:val="hybridMultilevel"/>
    <w:tmpl w:val="C18E115A"/>
    <w:lvl w:ilvl="0" w:tplc="0419000D">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0">
    <w:nsid w:val="41214273"/>
    <w:multiLevelType w:val="hybridMultilevel"/>
    <w:tmpl w:val="F7307E22"/>
    <w:lvl w:ilvl="0" w:tplc="4782D716">
      <w:start w:val="1"/>
      <w:numFmt w:val="decimal"/>
      <w:lvlText w:val="%1."/>
      <w:lvlJc w:val="left"/>
      <w:pPr>
        <w:tabs>
          <w:tab w:val="num" w:pos="3960"/>
        </w:tabs>
        <w:ind w:left="3960" w:hanging="360"/>
      </w:pPr>
      <w:rPr>
        <w:rFonts w:hint="default"/>
      </w:rPr>
    </w:lvl>
    <w:lvl w:ilvl="1" w:tplc="04190019">
      <w:start w:val="1"/>
      <w:numFmt w:val="lowerLetter"/>
      <w:lvlText w:val="%2."/>
      <w:lvlJc w:val="left"/>
      <w:pPr>
        <w:tabs>
          <w:tab w:val="num" w:pos="4473"/>
        </w:tabs>
        <w:ind w:left="4473" w:hanging="360"/>
      </w:pPr>
    </w:lvl>
    <w:lvl w:ilvl="2" w:tplc="0419001B">
      <w:start w:val="1"/>
      <w:numFmt w:val="lowerRoman"/>
      <w:lvlText w:val="%3."/>
      <w:lvlJc w:val="right"/>
      <w:pPr>
        <w:tabs>
          <w:tab w:val="num" w:pos="5193"/>
        </w:tabs>
        <w:ind w:left="5193" w:hanging="180"/>
      </w:pPr>
    </w:lvl>
    <w:lvl w:ilvl="3" w:tplc="0419000F">
      <w:start w:val="1"/>
      <w:numFmt w:val="decimal"/>
      <w:lvlText w:val="%4."/>
      <w:lvlJc w:val="left"/>
      <w:pPr>
        <w:tabs>
          <w:tab w:val="num" w:pos="5913"/>
        </w:tabs>
        <w:ind w:left="5913" w:hanging="360"/>
      </w:pPr>
    </w:lvl>
    <w:lvl w:ilvl="4" w:tplc="04190019">
      <w:start w:val="1"/>
      <w:numFmt w:val="lowerLetter"/>
      <w:lvlText w:val="%5."/>
      <w:lvlJc w:val="left"/>
      <w:pPr>
        <w:tabs>
          <w:tab w:val="num" w:pos="6633"/>
        </w:tabs>
        <w:ind w:left="6633" w:hanging="360"/>
      </w:pPr>
    </w:lvl>
    <w:lvl w:ilvl="5" w:tplc="0419001B">
      <w:start w:val="1"/>
      <w:numFmt w:val="lowerRoman"/>
      <w:lvlText w:val="%6."/>
      <w:lvlJc w:val="right"/>
      <w:pPr>
        <w:tabs>
          <w:tab w:val="num" w:pos="7353"/>
        </w:tabs>
        <w:ind w:left="7353" w:hanging="180"/>
      </w:pPr>
    </w:lvl>
    <w:lvl w:ilvl="6" w:tplc="0419000F">
      <w:start w:val="1"/>
      <w:numFmt w:val="decimal"/>
      <w:lvlText w:val="%7."/>
      <w:lvlJc w:val="left"/>
      <w:pPr>
        <w:tabs>
          <w:tab w:val="num" w:pos="8073"/>
        </w:tabs>
        <w:ind w:left="8073" w:hanging="360"/>
      </w:pPr>
    </w:lvl>
    <w:lvl w:ilvl="7" w:tplc="04190019">
      <w:start w:val="1"/>
      <w:numFmt w:val="lowerLetter"/>
      <w:lvlText w:val="%8."/>
      <w:lvlJc w:val="left"/>
      <w:pPr>
        <w:tabs>
          <w:tab w:val="num" w:pos="8793"/>
        </w:tabs>
        <w:ind w:left="8793" w:hanging="360"/>
      </w:pPr>
    </w:lvl>
    <w:lvl w:ilvl="8" w:tplc="0419001B">
      <w:start w:val="1"/>
      <w:numFmt w:val="lowerRoman"/>
      <w:lvlText w:val="%9."/>
      <w:lvlJc w:val="right"/>
      <w:pPr>
        <w:tabs>
          <w:tab w:val="num" w:pos="9513"/>
        </w:tabs>
        <w:ind w:left="9513" w:hanging="180"/>
      </w:pPr>
    </w:lvl>
  </w:abstractNum>
  <w:abstractNum w:abstractNumId="21">
    <w:nsid w:val="45FA5460"/>
    <w:multiLevelType w:val="hybridMultilevel"/>
    <w:tmpl w:val="7DF47FB4"/>
    <w:lvl w:ilvl="0" w:tplc="B94C09BA">
      <w:start w:val="1"/>
      <w:numFmt w:val="decimal"/>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4E461ECF"/>
    <w:multiLevelType w:val="hybridMultilevel"/>
    <w:tmpl w:val="D04A2FEC"/>
    <w:lvl w:ilvl="0" w:tplc="4782D716">
      <w:start w:val="1"/>
      <w:numFmt w:val="decimal"/>
      <w:lvlText w:val="%1."/>
      <w:lvlJc w:val="left"/>
      <w:pPr>
        <w:tabs>
          <w:tab w:val="num" w:pos="3960"/>
        </w:tabs>
        <w:ind w:left="3960"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23">
    <w:nsid w:val="4E5E4364"/>
    <w:multiLevelType w:val="hybridMultilevel"/>
    <w:tmpl w:val="416C579A"/>
    <w:lvl w:ilvl="0" w:tplc="04190019">
      <w:start w:val="1"/>
      <w:numFmt w:val="lowerLetter"/>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4">
    <w:nsid w:val="54632063"/>
    <w:multiLevelType w:val="hybridMultilevel"/>
    <w:tmpl w:val="3BBE35CA"/>
    <w:lvl w:ilvl="0" w:tplc="4782D716">
      <w:start w:val="1"/>
      <w:numFmt w:val="decimal"/>
      <w:lvlText w:val="%1."/>
      <w:lvlJc w:val="left"/>
      <w:pPr>
        <w:tabs>
          <w:tab w:val="num" w:pos="502"/>
        </w:tabs>
        <w:ind w:left="502" w:hanging="360"/>
      </w:pPr>
      <w:rPr>
        <w:rFonts w:hint="default"/>
      </w:rPr>
    </w:lvl>
    <w:lvl w:ilvl="1" w:tplc="04190019">
      <w:start w:val="1"/>
      <w:numFmt w:val="lowerLetter"/>
      <w:lvlText w:val="%2."/>
      <w:lvlJc w:val="left"/>
      <w:pPr>
        <w:tabs>
          <w:tab w:val="num" w:pos="1015"/>
        </w:tabs>
        <w:ind w:left="1015" w:hanging="360"/>
      </w:pPr>
    </w:lvl>
    <w:lvl w:ilvl="2" w:tplc="0419001B">
      <w:start w:val="1"/>
      <w:numFmt w:val="lowerRoman"/>
      <w:lvlText w:val="%3."/>
      <w:lvlJc w:val="right"/>
      <w:pPr>
        <w:tabs>
          <w:tab w:val="num" w:pos="1735"/>
        </w:tabs>
        <w:ind w:left="1735" w:hanging="180"/>
      </w:pPr>
    </w:lvl>
    <w:lvl w:ilvl="3" w:tplc="0419000F">
      <w:start w:val="1"/>
      <w:numFmt w:val="decimal"/>
      <w:lvlText w:val="%4."/>
      <w:lvlJc w:val="left"/>
      <w:pPr>
        <w:tabs>
          <w:tab w:val="num" w:pos="2455"/>
        </w:tabs>
        <w:ind w:left="2455" w:hanging="360"/>
      </w:pPr>
    </w:lvl>
    <w:lvl w:ilvl="4" w:tplc="04190019">
      <w:start w:val="1"/>
      <w:numFmt w:val="lowerLetter"/>
      <w:lvlText w:val="%5."/>
      <w:lvlJc w:val="left"/>
      <w:pPr>
        <w:tabs>
          <w:tab w:val="num" w:pos="3175"/>
        </w:tabs>
        <w:ind w:left="3175" w:hanging="360"/>
      </w:pPr>
    </w:lvl>
    <w:lvl w:ilvl="5" w:tplc="0419001B">
      <w:start w:val="1"/>
      <w:numFmt w:val="lowerRoman"/>
      <w:lvlText w:val="%6."/>
      <w:lvlJc w:val="right"/>
      <w:pPr>
        <w:tabs>
          <w:tab w:val="num" w:pos="3895"/>
        </w:tabs>
        <w:ind w:left="3895" w:hanging="180"/>
      </w:pPr>
    </w:lvl>
    <w:lvl w:ilvl="6" w:tplc="0419000F">
      <w:start w:val="1"/>
      <w:numFmt w:val="decimal"/>
      <w:lvlText w:val="%7."/>
      <w:lvlJc w:val="left"/>
      <w:pPr>
        <w:tabs>
          <w:tab w:val="num" w:pos="4615"/>
        </w:tabs>
        <w:ind w:left="4615" w:hanging="360"/>
      </w:pPr>
    </w:lvl>
    <w:lvl w:ilvl="7" w:tplc="04190019">
      <w:start w:val="1"/>
      <w:numFmt w:val="lowerLetter"/>
      <w:lvlText w:val="%8."/>
      <w:lvlJc w:val="left"/>
      <w:pPr>
        <w:tabs>
          <w:tab w:val="num" w:pos="5335"/>
        </w:tabs>
        <w:ind w:left="5335" w:hanging="360"/>
      </w:pPr>
    </w:lvl>
    <w:lvl w:ilvl="8" w:tplc="0419001B">
      <w:start w:val="1"/>
      <w:numFmt w:val="lowerRoman"/>
      <w:lvlText w:val="%9."/>
      <w:lvlJc w:val="right"/>
      <w:pPr>
        <w:tabs>
          <w:tab w:val="num" w:pos="6055"/>
        </w:tabs>
        <w:ind w:left="6055" w:hanging="180"/>
      </w:pPr>
    </w:lvl>
  </w:abstractNum>
  <w:abstractNum w:abstractNumId="25">
    <w:nsid w:val="551F5BCA"/>
    <w:multiLevelType w:val="hybridMultilevel"/>
    <w:tmpl w:val="028E5BCC"/>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6">
    <w:nsid w:val="5C753E35"/>
    <w:multiLevelType w:val="hybridMultilevel"/>
    <w:tmpl w:val="0ADE2B3E"/>
    <w:lvl w:ilvl="0" w:tplc="0422000F">
      <w:start w:val="1"/>
      <w:numFmt w:val="decimal"/>
      <w:lvlText w:val="%1."/>
      <w:lvlJc w:val="left"/>
      <w:pPr>
        <w:ind w:left="1440" w:hanging="360"/>
      </w:pPr>
    </w:lvl>
    <w:lvl w:ilvl="1" w:tplc="04220019">
      <w:start w:val="1"/>
      <w:numFmt w:val="lowerLetter"/>
      <w:lvlText w:val="%2."/>
      <w:lvlJc w:val="left"/>
      <w:pPr>
        <w:ind w:left="2160" w:hanging="360"/>
      </w:pPr>
    </w:lvl>
    <w:lvl w:ilvl="2" w:tplc="0422001B">
      <w:start w:val="1"/>
      <w:numFmt w:val="lowerRoman"/>
      <w:lvlText w:val="%3."/>
      <w:lvlJc w:val="right"/>
      <w:pPr>
        <w:ind w:left="2880" w:hanging="180"/>
      </w:pPr>
    </w:lvl>
    <w:lvl w:ilvl="3" w:tplc="0422000F">
      <w:start w:val="1"/>
      <w:numFmt w:val="decimal"/>
      <w:lvlText w:val="%4."/>
      <w:lvlJc w:val="left"/>
      <w:pPr>
        <w:ind w:left="3600" w:hanging="360"/>
      </w:pPr>
    </w:lvl>
    <w:lvl w:ilvl="4" w:tplc="04220019">
      <w:start w:val="1"/>
      <w:numFmt w:val="lowerLetter"/>
      <w:lvlText w:val="%5."/>
      <w:lvlJc w:val="left"/>
      <w:pPr>
        <w:ind w:left="4320" w:hanging="360"/>
      </w:pPr>
    </w:lvl>
    <w:lvl w:ilvl="5" w:tplc="0422001B">
      <w:start w:val="1"/>
      <w:numFmt w:val="lowerRoman"/>
      <w:lvlText w:val="%6."/>
      <w:lvlJc w:val="right"/>
      <w:pPr>
        <w:ind w:left="5040" w:hanging="180"/>
      </w:pPr>
    </w:lvl>
    <w:lvl w:ilvl="6" w:tplc="0422000F">
      <w:start w:val="1"/>
      <w:numFmt w:val="decimal"/>
      <w:lvlText w:val="%7."/>
      <w:lvlJc w:val="left"/>
      <w:pPr>
        <w:ind w:left="5760" w:hanging="360"/>
      </w:pPr>
    </w:lvl>
    <w:lvl w:ilvl="7" w:tplc="04220019">
      <w:start w:val="1"/>
      <w:numFmt w:val="lowerLetter"/>
      <w:lvlText w:val="%8."/>
      <w:lvlJc w:val="left"/>
      <w:pPr>
        <w:ind w:left="6480" w:hanging="360"/>
      </w:pPr>
    </w:lvl>
    <w:lvl w:ilvl="8" w:tplc="0422001B">
      <w:start w:val="1"/>
      <w:numFmt w:val="lowerRoman"/>
      <w:lvlText w:val="%9."/>
      <w:lvlJc w:val="right"/>
      <w:pPr>
        <w:ind w:left="7200" w:hanging="180"/>
      </w:pPr>
    </w:lvl>
  </w:abstractNum>
  <w:abstractNum w:abstractNumId="27">
    <w:nsid w:val="5EED7A41"/>
    <w:multiLevelType w:val="hybridMultilevel"/>
    <w:tmpl w:val="B0A2CF58"/>
    <w:lvl w:ilvl="0" w:tplc="04220013">
      <w:start w:val="1"/>
      <w:numFmt w:val="upperRoman"/>
      <w:lvlText w:val="%1."/>
      <w:lvlJc w:val="righ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8">
    <w:nsid w:val="613D2A7A"/>
    <w:multiLevelType w:val="hybridMultilevel"/>
    <w:tmpl w:val="79342FD8"/>
    <w:lvl w:ilvl="0" w:tplc="0419000D">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9">
    <w:nsid w:val="65425637"/>
    <w:multiLevelType w:val="hybridMultilevel"/>
    <w:tmpl w:val="AC3035A6"/>
    <w:lvl w:ilvl="0" w:tplc="0419000D">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0">
    <w:nsid w:val="67A3318C"/>
    <w:multiLevelType w:val="hybridMultilevel"/>
    <w:tmpl w:val="287C8C9A"/>
    <w:lvl w:ilvl="0" w:tplc="0419000D">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1">
    <w:nsid w:val="6B3E6C81"/>
    <w:multiLevelType w:val="hybridMultilevel"/>
    <w:tmpl w:val="E6084672"/>
    <w:lvl w:ilvl="0" w:tplc="0422000F">
      <w:start w:val="1"/>
      <w:numFmt w:val="decimal"/>
      <w:lvlText w:val="%1."/>
      <w:lvlJc w:val="left"/>
      <w:pPr>
        <w:ind w:left="1440" w:hanging="360"/>
      </w:pPr>
    </w:lvl>
    <w:lvl w:ilvl="1" w:tplc="04220019">
      <w:start w:val="1"/>
      <w:numFmt w:val="lowerLetter"/>
      <w:lvlText w:val="%2."/>
      <w:lvlJc w:val="left"/>
      <w:pPr>
        <w:ind w:left="2160" w:hanging="360"/>
      </w:pPr>
    </w:lvl>
    <w:lvl w:ilvl="2" w:tplc="0422001B">
      <w:start w:val="1"/>
      <w:numFmt w:val="lowerRoman"/>
      <w:lvlText w:val="%3."/>
      <w:lvlJc w:val="right"/>
      <w:pPr>
        <w:ind w:left="2880" w:hanging="180"/>
      </w:pPr>
    </w:lvl>
    <w:lvl w:ilvl="3" w:tplc="0422000F">
      <w:start w:val="1"/>
      <w:numFmt w:val="decimal"/>
      <w:lvlText w:val="%4."/>
      <w:lvlJc w:val="left"/>
      <w:pPr>
        <w:ind w:left="3600" w:hanging="360"/>
      </w:pPr>
    </w:lvl>
    <w:lvl w:ilvl="4" w:tplc="04220019">
      <w:start w:val="1"/>
      <w:numFmt w:val="lowerLetter"/>
      <w:lvlText w:val="%5."/>
      <w:lvlJc w:val="left"/>
      <w:pPr>
        <w:ind w:left="4320" w:hanging="360"/>
      </w:pPr>
    </w:lvl>
    <w:lvl w:ilvl="5" w:tplc="0422001B">
      <w:start w:val="1"/>
      <w:numFmt w:val="lowerRoman"/>
      <w:lvlText w:val="%6."/>
      <w:lvlJc w:val="right"/>
      <w:pPr>
        <w:ind w:left="5040" w:hanging="180"/>
      </w:pPr>
    </w:lvl>
    <w:lvl w:ilvl="6" w:tplc="0422000F">
      <w:start w:val="1"/>
      <w:numFmt w:val="decimal"/>
      <w:lvlText w:val="%7."/>
      <w:lvlJc w:val="left"/>
      <w:pPr>
        <w:ind w:left="5760" w:hanging="360"/>
      </w:pPr>
    </w:lvl>
    <w:lvl w:ilvl="7" w:tplc="04220019">
      <w:start w:val="1"/>
      <w:numFmt w:val="lowerLetter"/>
      <w:lvlText w:val="%8."/>
      <w:lvlJc w:val="left"/>
      <w:pPr>
        <w:ind w:left="6480" w:hanging="360"/>
      </w:pPr>
    </w:lvl>
    <w:lvl w:ilvl="8" w:tplc="0422001B">
      <w:start w:val="1"/>
      <w:numFmt w:val="lowerRoman"/>
      <w:lvlText w:val="%9."/>
      <w:lvlJc w:val="right"/>
      <w:pPr>
        <w:ind w:left="7200" w:hanging="180"/>
      </w:pPr>
    </w:lvl>
  </w:abstractNum>
  <w:abstractNum w:abstractNumId="32">
    <w:nsid w:val="6B846A9F"/>
    <w:multiLevelType w:val="hybridMultilevel"/>
    <w:tmpl w:val="48CAFB2C"/>
    <w:lvl w:ilvl="0" w:tplc="320A19B4">
      <w:start w:val="1"/>
      <w:numFmt w:val="decimal"/>
      <w:lvlText w:val="%1."/>
      <w:lvlJc w:val="left"/>
      <w:pPr>
        <w:tabs>
          <w:tab w:val="num" w:pos="567"/>
        </w:tabs>
        <w:ind w:left="539" w:hanging="53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70774462"/>
    <w:multiLevelType w:val="hybridMultilevel"/>
    <w:tmpl w:val="2746366A"/>
    <w:lvl w:ilvl="0" w:tplc="BCAA5106">
      <w:start w:val="1"/>
      <w:numFmt w:val="decimal"/>
      <w:lvlText w:val="4.%1"/>
      <w:lvlJc w:val="left"/>
      <w:pPr>
        <w:ind w:left="2149"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718836F5"/>
    <w:multiLevelType w:val="hybridMultilevel"/>
    <w:tmpl w:val="4A8C3F18"/>
    <w:lvl w:ilvl="0" w:tplc="1A28F00C">
      <w:start w:val="1"/>
      <w:numFmt w:val="bullet"/>
      <w:lvlText w:val=""/>
      <w:lvlJc w:val="left"/>
      <w:pPr>
        <w:tabs>
          <w:tab w:val="num" w:pos="567"/>
        </w:tabs>
        <w:ind w:left="539" w:hanging="539"/>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78FC21B0"/>
    <w:multiLevelType w:val="hybridMultilevel"/>
    <w:tmpl w:val="EE3C2334"/>
    <w:lvl w:ilvl="0" w:tplc="6D829018">
      <w:start w:val="1"/>
      <w:numFmt w:val="decimal"/>
      <w:lvlText w:val="%1."/>
      <w:lvlJc w:val="left"/>
      <w:pPr>
        <w:tabs>
          <w:tab w:val="num" w:pos="0"/>
        </w:tabs>
      </w:pPr>
      <w:rPr>
        <w:rFonts w:hint="default"/>
      </w:rPr>
    </w:lvl>
    <w:lvl w:ilvl="1" w:tplc="AAAE4F0C">
      <w:start w:val="1"/>
      <w:numFmt w:val="decimal"/>
      <w:lvlText w:val="%2."/>
      <w:lvlJc w:val="left"/>
      <w:pPr>
        <w:tabs>
          <w:tab w:val="num" w:pos="0"/>
        </w:tabs>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13"/>
  </w:num>
  <w:num w:numId="3">
    <w:abstractNumId w:val="27"/>
  </w:num>
  <w:num w:numId="4">
    <w:abstractNumId w:val="26"/>
  </w:num>
  <w:num w:numId="5">
    <w:abstractNumId w:val="25"/>
  </w:num>
  <w:num w:numId="6">
    <w:abstractNumId w:val="18"/>
  </w:num>
  <w:num w:numId="7">
    <w:abstractNumId w:val="4"/>
  </w:num>
  <w:num w:numId="8">
    <w:abstractNumId w:val="9"/>
  </w:num>
  <w:num w:numId="9">
    <w:abstractNumId w:val="15"/>
  </w:num>
  <w:num w:numId="10">
    <w:abstractNumId w:val="22"/>
  </w:num>
  <w:num w:numId="11">
    <w:abstractNumId w:val="24"/>
  </w:num>
  <w:num w:numId="12">
    <w:abstractNumId w:val="20"/>
  </w:num>
  <w:num w:numId="13">
    <w:abstractNumId w:val="10"/>
  </w:num>
  <w:num w:numId="14">
    <w:abstractNumId w:val="1"/>
  </w:num>
  <w:num w:numId="15">
    <w:abstractNumId w:val="28"/>
  </w:num>
  <w:num w:numId="16">
    <w:abstractNumId w:val="29"/>
  </w:num>
  <w:num w:numId="17">
    <w:abstractNumId w:val="11"/>
  </w:num>
  <w:num w:numId="18">
    <w:abstractNumId w:val="16"/>
  </w:num>
  <w:num w:numId="19">
    <w:abstractNumId w:val="7"/>
  </w:num>
  <w:num w:numId="20">
    <w:abstractNumId w:val="12"/>
  </w:num>
  <w:num w:numId="21">
    <w:abstractNumId w:val="23"/>
  </w:num>
  <w:num w:numId="22">
    <w:abstractNumId w:val="19"/>
  </w:num>
  <w:num w:numId="23">
    <w:abstractNumId w:val="30"/>
  </w:num>
  <w:num w:numId="24">
    <w:abstractNumId w:val="8"/>
  </w:num>
  <w:num w:numId="25">
    <w:abstractNumId w:val="31"/>
  </w:num>
  <w:num w:numId="26">
    <w:abstractNumId w:val="33"/>
  </w:num>
  <w:num w:numId="27">
    <w:abstractNumId w:val="17"/>
  </w:num>
  <w:num w:numId="28">
    <w:abstractNumId w:val="35"/>
  </w:num>
  <w:num w:numId="29">
    <w:abstractNumId w:val="34"/>
  </w:num>
  <w:num w:numId="30">
    <w:abstractNumId w:val="32"/>
  </w:num>
  <w:num w:numId="31">
    <w:abstractNumId w:val="6"/>
  </w:num>
  <w:num w:numId="32">
    <w:abstractNumId w:val="3"/>
  </w:num>
  <w:num w:numId="33">
    <w:abstractNumId w:val="5"/>
  </w:num>
  <w:num w:numId="34">
    <w:abstractNumId w:val="21"/>
  </w:num>
  <w:num w:numId="35">
    <w:abstractNumId w:val="14"/>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01E2"/>
    <w:rsid w:val="00021FBE"/>
    <w:rsid w:val="00030237"/>
    <w:rsid w:val="000778C4"/>
    <w:rsid w:val="000E1D3F"/>
    <w:rsid w:val="001255BF"/>
    <w:rsid w:val="001412E7"/>
    <w:rsid w:val="0017453F"/>
    <w:rsid w:val="001C6675"/>
    <w:rsid w:val="001E3B35"/>
    <w:rsid w:val="00212233"/>
    <w:rsid w:val="0027558D"/>
    <w:rsid w:val="00283EB0"/>
    <w:rsid w:val="002E54D2"/>
    <w:rsid w:val="00330523"/>
    <w:rsid w:val="00347C2B"/>
    <w:rsid w:val="003F496F"/>
    <w:rsid w:val="00454E0D"/>
    <w:rsid w:val="004631A2"/>
    <w:rsid w:val="004956E6"/>
    <w:rsid w:val="004F1AE9"/>
    <w:rsid w:val="004F447F"/>
    <w:rsid w:val="004F7C39"/>
    <w:rsid w:val="005254F2"/>
    <w:rsid w:val="00567398"/>
    <w:rsid w:val="005C1EF4"/>
    <w:rsid w:val="005C48FE"/>
    <w:rsid w:val="00637E38"/>
    <w:rsid w:val="006D2681"/>
    <w:rsid w:val="006E4ECB"/>
    <w:rsid w:val="007472C6"/>
    <w:rsid w:val="00797998"/>
    <w:rsid w:val="007A7197"/>
    <w:rsid w:val="007C63B2"/>
    <w:rsid w:val="007E2EBC"/>
    <w:rsid w:val="00801082"/>
    <w:rsid w:val="00813101"/>
    <w:rsid w:val="00827BA2"/>
    <w:rsid w:val="00851B31"/>
    <w:rsid w:val="00870381"/>
    <w:rsid w:val="00871007"/>
    <w:rsid w:val="00876951"/>
    <w:rsid w:val="00880C5A"/>
    <w:rsid w:val="00880FB2"/>
    <w:rsid w:val="008B39B5"/>
    <w:rsid w:val="00903646"/>
    <w:rsid w:val="00912D81"/>
    <w:rsid w:val="00917B51"/>
    <w:rsid w:val="00972A3F"/>
    <w:rsid w:val="00972B7F"/>
    <w:rsid w:val="009752C0"/>
    <w:rsid w:val="009A7FCF"/>
    <w:rsid w:val="009C7EE3"/>
    <w:rsid w:val="00A24D29"/>
    <w:rsid w:val="00A448F1"/>
    <w:rsid w:val="00AB02BF"/>
    <w:rsid w:val="00AB4C1C"/>
    <w:rsid w:val="00AB4EB5"/>
    <w:rsid w:val="00AC10E4"/>
    <w:rsid w:val="00AC6F86"/>
    <w:rsid w:val="00AD2D8E"/>
    <w:rsid w:val="00AD799A"/>
    <w:rsid w:val="00AF0A61"/>
    <w:rsid w:val="00B074ED"/>
    <w:rsid w:val="00B14214"/>
    <w:rsid w:val="00B2663E"/>
    <w:rsid w:val="00BB38DB"/>
    <w:rsid w:val="00BE0179"/>
    <w:rsid w:val="00BE40D9"/>
    <w:rsid w:val="00C10D81"/>
    <w:rsid w:val="00C14293"/>
    <w:rsid w:val="00C14AFB"/>
    <w:rsid w:val="00C35C5E"/>
    <w:rsid w:val="00C57C75"/>
    <w:rsid w:val="00CC2F4B"/>
    <w:rsid w:val="00D20064"/>
    <w:rsid w:val="00D71110"/>
    <w:rsid w:val="00D755D1"/>
    <w:rsid w:val="00D81599"/>
    <w:rsid w:val="00DE0DF4"/>
    <w:rsid w:val="00DE342F"/>
    <w:rsid w:val="00E401E2"/>
    <w:rsid w:val="00E4225C"/>
    <w:rsid w:val="00E92E0B"/>
    <w:rsid w:val="00E93F03"/>
    <w:rsid w:val="00EA72F2"/>
    <w:rsid w:val="00EE42F9"/>
    <w:rsid w:val="00F2398E"/>
    <w:rsid w:val="00FA365D"/>
    <w:rsid w:val="00FD65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D33261EF-BD1B-4B34-950B-1E318E36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12E7"/>
    <w:pPr>
      <w:spacing w:line="288" w:lineRule="auto"/>
      <w:ind w:firstLine="709"/>
    </w:pPr>
    <w:rPr>
      <w:rFonts w:cs="Calibri"/>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401E2"/>
    <w:pPr>
      <w:ind w:left="720"/>
    </w:pPr>
  </w:style>
  <w:style w:type="paragraph" w:styleId="a4">
    <w:name w:val="Balloon Text"/>
    <w:basedOn w:val="a"/>
    <w:link w:val="a5"/>
    <w:uiPriority w:val="99"/>
    <w:semiHidden/>
    <w:rsid w:val="00283EB0"/>
    <w:pPr>
      <w:spacing w:line="240" w:lineRule="auto"/>
    </w:pPr>
    <w:rPr>
      <w:rFonts w:ascii="Tahoma" w:hAnsi="Tahoma" w:cs="Tahoma"/>
      <w:sz w:val="16"/>
      <w:szCs w:val="16"/>
    </w:rPr>
  </w:style>
  <w:style w:type="paragraph" w:customStyle="1" w:styleId="FR1">
    <w:name w:val="FR1"/>
    <w:uiPriority w:val="99"/>
    <w:rsid w:val="00C57C75"/>
    <w:pPr>
      <w:widowControl w:val="0"/>
      <w:autoSpaceDE w:val="0"/>
      <w:autoSpaceDN w:val="0"/>
      <w:adjustRightInd w:val="0"/>
      <w:spacing w:before="300" w:line="260" w:lineRule="auto"/>
      <w:ind w:right="400"/>
    </w:pPr>
    <w:rPr>
      <w:rFonts w:ascii="Times New Roman" w:eastAsia="Times New Roman" w:hAnsi="Times New Roman"/>
      <w:b/>
      <w:bCs/>
      <w:sz w:val="22"/>
      <w:szCs w:val="22"/>
      <w:lang w:val="uk-UA"/>
    </w:rPr>
  </w:style>
  <w:style w:type="character" w:customStyle="1" w:styleId="a5">
    <w:name w:val="Текст выноски Знак"/>
    <w:link w:val="a4"/>
    <w:uiPriority w:val="99"/>
    <w:semiHidden/>
    <w:rsid w:val="00283EB0"/>
    <w:rPr>
      <w:rFonts w:ascii="Tahoma" w:hAnsi="Tahoma" w:cs="Tahoma"/>
      <w:sz w:val="16"/>
      <w:szCs w:val="16"/>
    </w:rPr>
  </w:style>
  <w:style w:type="table" w:styleId="a6">
    <w:name w:val="Table Grid"/>
    <w:basedOn w:val="a1"/>
    <w:uiPriority w:val="99"/>
    <w:rsid w:val="009C7EE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dbody">
    <w:name w:val="d_body"/>
    <w:uiPriority w:val="99"/>
    <w:rsid w:val="00903646"/>
  </w:style>
  <w:style w:type="character" w:styleId="a7">
    <w:name w:val="Hyperlink"/>
    <w:uiPriority w:val="99"/>
    <w:rsid w:val="00903646"/>
    <w:rPr>
      <w:color w:val="0000FF"/>
      <w:u w:val="single"/>
    </w:rPr>
  </w:style>
  <w:style w:type="character" w:customStyle="1" w:styleId="dcom">
    <w:name w:val="d_com"/>
    <w:uiPriority w:val="99"/>
    <w:rsid w:val="00903646"/>
  </w:style>
  <w:style w:type="paragraph" w:styleId="a8">
    <w:name w:val="Normal (Web)"/>
    <w:basedOn w:val="a"/>
    <w:uiPriority w:val="99"/>
    <w:semiHidden/>
    <w:rsid w:val="00D81599"/>
    <w:pPr>
      <w:spacing w:before="100" w:beforeAutospacing="1" w:after="100" w:afterAutospacing="1" w:line="240" w:lineRule="auto"/>
      <w:ind w:firstLine="0"/>
    </w:pPr>
    <w:rPr>
      <w:rFonts w:ascii="Times New Roman" w:eastAsia="Times New Roman" w:hAnsi="Times New Roman" w:cs="Times New Roman"/>
      <w:sz w:val="24"/>
      <w:szCs w:val="24"/>
      <w:lang w:val="ru-RU" w:eastAsia="ru-RU"/>
    </w:rPr>
  </w:style>
  <w:style w:type="character" w:styleId="a9">
    <w:name w:val="Emphasis"/>
    <w:uiPriority w:val="99"/>
    <w:qFormat/>
    <w:rsid w:val="00D81599"/>
    <w:rPr>
      <w:i/>
      <w:iCs/>
    </w:rPr>
  </w:style>
  <w:style w:type="character" w:styleId="aa">
    <w:name w:val="Strong"/>
    <w:uiPriority w:val="99"/>
    <w:qFormat/>
    <w:rsid w:val="00876951"/>
    <w:rPr>
      <w:b/>
      <w:bCs/>
    </w:rPr>
  </w:style>
  <w:style w:type="paragraph" w:styleId="ab">
    <w:name w:val="Body Text"/>
    <w:basedOn w:val="a"/>
    <w:link w:val="ac"/>
    <w:uiPriority w:val="99"/>
    <w:semiHidden/>
    <w:rsid w:val="00330523"/>
    <w:pPr>
      <w:spacing w:before="100" w:beforeAutospacing="1" w:after="100" w:afterAutospacing="1" w:line="240" w:lineRule="auto"/>
      <w:ind w:firstLine="0"/>
    </w:pPr>
    <w:rPr>
      <w:rFonts w:ascii="Times New Roman" w:eastAsia="Times New Roman" w:hAnsi="Times New Roman" w:cs="Times New Roman"/>
      <w:sz w:val="24"/>
      <w:szCs w:val="24"/>
      <w:lang w:val="ru-RU" w:eastAsia="ru-RU"/>
    </w:rPr>
  </w:style>
  <w:style w:type="paragraph" w:customStyle="1" w:styleId="newstext">
    <w:name w:val="newstext"/>
    <w:basedOn w:val="a"/>
    <w:uiPriority w:val="99"/>
    <w:rsid w:val="004F447F"/>
    <w:pPr>
      <w:spacing w:before="100" w:beforeAutospacing="1" w:after="100" w:afterAutospacing="1" w:line="240" w:lineRule="auto"/>
      <w:ind w:firstLine="0"/>
    </w:pPr>
    <w:rPr>
      <w:rFonts w:ascii="Times New Roman" w:eastAsia="Times New Roman" w:hAnsi="Times New Roman" w:cs="Times New Roman"/>
      <w:sz w:val="24"/>
      <w:szCs w:val="24"/>
      <w:lang w:val="ru-RU" w:eastAsia="ru-RU"/>
    </w:rPr>
  </w:style>
  <w:style w:type="character" w:customStyle="1" w:styleId="ac">
    <w:name w:val="Основной текст Знак"/>
    <w:link w:val="ab"/>
    <w:uiPriority w:val="99"/>
    <w:semiHidden/>
    <w:rsid w:val="00330523"/>
    <w:rPr>
      <w:rFonts w:ascii="Times New Roman" w:eastAsia="Times New Roman" w:hAnsi="Times New Roman" w:cs="Times New Roman"/>
      <w:sz w:val="24"/>
      <w:szCs w:val="24"/>
      <w:lang w:val="ru-RU" w:eastAsia="ru-RU"/>
    </w:rPr>
  </w:style>
  <w:style w:type="paragraph" w:customStyle="1" w:styleId="text">
    <w:name w:val="text"/>
    <w:basedOn w:val="a"/>
    <w:uiPriority w:val="99"/>
    <w:rsid w:val="000E1D3F"/>
    <w:pPr>
      <w:spacing w:before="100" w:beforeAutospacing="1" w:after="100" w:afterAutospacing="1" w:line="240" w:lineRule="auto"/>
      <w:ind w:firstLine="0"/>
    </w:pPr>
    <w:rPr>
      <w:rFonts w:ascii="Times New Roman" w:eastAsia="Times New Roman" w:hAnsi="Times New Roman" w:cs="Times New Roman"/>
      <w:sz w:val="24"/>
      <w:szCs w:val="24"/>
      <w:lang w:val="ru-RU" w:eastAsia="ru-RU"/>
    </w:rPr>
  </w:style>
  <w:style w:type="paragraph" w:styleId="ad">
    <w:name w:val="header"/>
    <w:basedOn w:val="a"/>
    <w:link w:val="ae"/>
    <w:uiPriority w:val="99"/>
    <w:rsid w:val="00347C2B"/>
    <w:pPr>
      <w:tabs>
        <w:tab w:val="center" w:pos="4677"/>
        <w:tab w:val="right" w:pos="9355"/>
      </w:tabs>
      <w:spacing w:line="240" w:lineRule="auto"/>
    </w:pPr>
  </w:style>
  <w:style w:type="paragraph" w:styleId="af">
    <w:name w:val="footer"/>
    <w:basedOn w:val="a"/>
    <w:link w:val="af0"/>
    <w:uiPriority w:val="99"/>
    <w:semiHidden/>
    <w:rsid w:val="00347C2B"/>
    <w:pPr>
      <w:tabs>
        <w:tab w:val="center" w:pos="4677"/>
        <w:tab w:val="right" w:pos="9355"/>
      </w:tabs>
      <w:spacing w:line="240" w:lineRule="auto"/>
    </w:pPr>
  </w:style>
  <w:style w:type="character" w:customStyle="1" w:styleId="ae">
    <w:name w:val="Верхний колонтитул Знак"/>
    <w:link w:val="ad"/>
    <w:uiPriority w:val="99"/>
    <w:rsid w:val="00347C2B"/>
  </w:style>
  <w:style w:type="paragraph" w:customStyle="1" w:styleId="21">
    <w:name w:val="Основной текст 21"/>
    <w:basedOn w:val="a"/>
    <w:uiPriority w:val="99"/>
    <w:rsid w:val="001E3B35"/>
    <w:pPr>
      <w:widowControl w:val="0"/>
      <w:spacing w:line="240" w:lineRule="auto"/>
      <w:ind w:right="-1759" w:firstLine="2160"/>
    </w:pPr>
    <w:rPr>
      <w:rFonts w:ascii="Times New Roman" w:eastAsia="Times New Roman" w:hAnsi="Times New Roman" w:cs="Times New Roman"/>
      <w:sz w:val="24"/>
      <w:szCs w:val="24"/>
      <w:lang w:eastAsia="ru-RU"/>
    </w:rPr>
  </w:style>
  <w:style w:type="character" w:customStyle="1" w:styleId="af0">
    <w:name w:val="Нижний колонтитул Знак"/>
    <w:link w:val="af"/>
    <w:uiPriority w:val="99"/>
    <w:semiHidden/>
    <w:rsid w:val="00347C2B"/>
  </w:style>
  <w:style w:type="character" w:styleId="af1">
    <w:name w:val="Placeholder Text"/>
    <w:uiPriority w:val="99"/>
    <w:semiHidden/>
    <w:rsid w:val="00D2006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27307">
      <w:marLeft w:val="0"/>
      <w:marRight w:val="0"/>
      <w:marTop w:val="0"/>
      <w:marBottom w:val="0"/>
      <w:divBdr>
        <w:top w:val="none" w:sz="0" w:space="0" w:color="auto"/>
        <w:left w:val="none" w:sz="0" w:space="0" w:color="auto"/>
        <w:bottom w:val="none" w:sz="0" w:space="0" w:color="auto"/>
        <w:right w:val="none" w:sz="0" w:space="0" w:color="auto"/>
      </w:divBdr>
    </w:div>
    <w:div w:id="160127309">
      <w:marLeft w:val="0"/>
      <w:marRight w:val="0"/>
      <w:marTop w:val="0"/>
      <w:marBottom w:val="0"/>
      <w:divBdr>
        <w:top w:val="none" w:sz="0" w:space="0" w:color="auto"/>
        <w:left w:val="none" w:sz="0" w:space="0" w:color="auto"/>
        <w:bottom w:val="none" w:sz="0" w:space="0" w:color="auto"/>
        <w:right w:val="none" w:sz="0" w:space="0" w:color="auto"/>
      </w:divBdr>
    </w:div>
    <w:div w:id="160127311">
      <w:marLeft w:val="0"/>
      <w:marRight w:val="0"/>
      <w:marTop w:val="0"/>
      <w:marBottom w:val="0"/>
      <w:divBdr>
        <w:top w:val="none" w:sz="0" w:space="0" w:color="auto"/>
        <w:left w:val="none" w:sz="0" w:space="0" w:color="auto"/>
        <w:bottom w:val="none" w:sz="0" w:space="0" w:color="auto"/>
        <w:right w:val="none" w:sz="0" w:space="0" w:color="auto"/>
      </w:divBdr>
      <w:divsChild>
        <w:div w:id="160127285">
          <w:marLeft w:val="0"/>
          <w:marRight w:val="0"/>
          <w:marTop w:val="0"/>
          <w:marBottom w:val="0"/>
          <w:divBdr>
            <w:top w:val="none" w:sz="0" w:space="0" w:color="auto"/>
            <w:left w:val="none" w:sz="0" w:space="0" w:color="auto"/>
            <w:bottom w:val="none" w:sz="0" w:space="0" w:color="auto"/>
            <w:right w:val="none" w:sz="0" w:space="0" w:color="auto"/>
          </w:divBdr>
        </w:div>
        <w:div w:id="160127286">
          <w:marLeft w:val="0"/>
          <w:marRight w:val="0"/>
          <w:marTop w:val="0"/>
          <w:marBottom w:val="0"/>
          <w:divBdr>
            <w:top w:val="none" w:sz="0" w:space="0" w:color="auto"/>
            <w:left w:val="none" w:sz="0" w:space="0" w:color="auto"/>
            <w:bottom w:val="none" w:sz="0" w:space="0" w:color="auto"/>
            <w:right w:val="none" w:sz="0" w:space="0" w:color="auto"/>
          </w:divBdr>
        </w:div>
        <w:div w:id="160127287">
          <w:marLeft w:val="0"/>
          <w:marRight w:val="0"/>
          <w:marTop w:val="0"/>
          <w:marBottom w:val="0"/>
          <w:divBdr>
            <w:top w:val="none" w:sz="0" w:space="0" w:color="auto"/>
            <w:left w:val="none" w:sz="0" w:space="0" w:color="auto"/>
            <w:bottom w:val="none" w:sz="0" w:space="0" w:color="auto"/>
            <w:right w:val="none" w:sz="0" w:space="0" w:color="auto"/>
          </w:divBdr>
        </w:div>
        <w:div w:id="160127292">
          <w:marLeft w:val="0"/>
          <w:marRight w:val="0"/>
          <w:marTop w:val="0"/>
          <w:marBottom w:val="0"/>
          <w:divBdr>
            <w:top w:val="none" w:sz="0" w:space="0" w:color="auto"/>
            <w:left w:val="none" w:sz="0" w:space="0" w:color="auto"/>
            <w:bottom w:val="none" w:sz="0" w:space="0" w:color="auto"/>
            <w:right w:val="none" w:sz="0" w:space="0" w:color="auto"/>
          </w:divBdr>
        </w:div>
        <w:div w:id="160127294">
          <w:marLeft w:val="0"/>
          <w:marRight w:val="0"/>
          <w:marTop w:val="0"/>
          <w:marBottom w:val="0"/>
          <w:divBdr>
            <w:top w:val="none" w:sz="0" w:space="0" w:color="auto"/>
            <w:left w:val="none" w:sz="0" w:space="0" w:color="auto"/>
            <w:bottom w:val="none" w:sz="0" w:space="0" w:color="auto"/>
            <w:right w:val="none" w:sz="0" w:space="0" w:color="auto"/>
          </w:divBdr>
        </w:div>
        <w:div w:id="160127295">
          <w:marLeft w:val="0"/>
          <w:marRight w:val="0"/>
          <w:marTop w:val="0"/>
          <w:marBottom w:val="0"/>
          <w:divBdr>
            <w:top w:val="none" w:sz="0" w:space="0" w:color="auto"/>
            <w:left w:val="none" w:sz="0" w:space="0" w:color="auto"/>
            <w:bottom w:val="none" w:sz="0" w:space="0" w:color="auto"/>
            <w:right w:val="none" w:sz="0" w:space="0" w:color="auto"/>
          </w:divBdr>
        </w:div>
        <w:div w:id="160127296">
          <w:marLeft w:val="0"/>
          <w:marRight w:val="0"/>
          <w:marTop w:val="0"/>
          <w:marBottom w:val="0"/>
          <w:divBdr>
            <w:top w:val="none" w:sz="0" w:space="0" w:color="auto"/>
            <w:left w:val="none" w:sz="0" w:space="0" w:color="auto"/>
            <w:bottom w:val="none" w:sz="0" w:space="0" w:color="auto"/>
            <w:right w:val="none" w:sz="0" w:space="0" w:color="auto"/>
          </w:divBdr>
        </w:div>
        <w:div w:id="160127298">
          <w:marLeft w:val="0"/>
          <w:marRight w:val="0"/>
          <w:marTop w:val="0"/>
          <w:marBottom w:val="0"/>
          <w:divBdr>
            <w:top w:val="none" w:sz="0" w:space="0" w:color="auto"/>
            <w:left w:val="none" w:sz="0" w:space="0" w:color="auto"/>
            <w:bottom w:val="none" w:sz="0" w:space="0" w:color="auto"/>
            <w:right w:val="none" w:sz="0" w:space="0" w:color="auto"/>
          </w:divBdr>
        </w:div>
        <w:div w:id="160127300">
          <w:marLeft w:val="0"/>
          <w:marRight w:val="0"/>
          <w:marTop w:val="0"/>
          <w:marBottom w:val="0"/>
          <w:divBdr>
            <w:top w:val="none" w:sz="0" w:space="0" w:color="auto"/>
            <w:left w:val="none" w:sz="0" w:space="0" w:color="auto"/>
            <w:bottom w:val="none" w:sz="0" w:space="0" w:color="auto"/>
            <w:right w:val="none" w:sz="0" w:space="0" w:color="auto"/>
          </w:divBdr>
        </w:div>
        <w:div w:id="160127302">
          <w:marLeft w:val="0"/>
          <w:marRight w:val="0"/>
          <w:marTop w:val="0"/>
          <w:marBottom w:val="0"/>
          <w:divBdr>
            <w:top w:val="none" w:sz="0" w:space="0" w:color="auto"/>
            <w:left w:val="none" w:sz="0" w:space="0" w:color="auto"/>
            <w:bottom w:val="none" w:sz="0" w:space="0" w:color="auto"/>
            <w:right w:val="none" w:sz="0" w:space="0" w:color="auto"/>
          </w:divBdr>
        </w:div>
        <w:div w:id="160127303">
          <w:marLeft w:val="0"/>
          <w:marRight w:val="0"/>
          <w:marTop w:val="0"/>
          <w:marBottom w:val="0"/>
          <w:divBdr>
            <w:top w:val="none" w:sz="0" w:space="0" w:color="auto"/>
            <w:left w:val="none" w:sz="0" w:space="0" w:color="auto"/>
            <w:bottom w:val="none" w:sz="0" w:space="0" w:color="auto"/>
            <w:right w:val="none" w:sz="0" w:space="0" w:color="auto"/>
          </w:divBdr>
        </w:div>
        <w:div w:id="160127304">
          <w:marLeft w:val="0"/>
          <w:marRight w:val="0"/>
          <w:marTop w:val="0"/>
          <w:marBottom w:val="0"/>
          <w:divBdr>
            <w:top w:val="none" w:sz="0" w:space="0" w:color="auto"/>
            <w:left w:val="none" w:sz="0" w:space="0" w:color="auto"/>
            <w:bottom w:val="none" w:sz="0" w:space="0" w:color="auto"/>
            <w:right w:val="none" w:sz="0" w:space="0" w:color="auto"/>
          </w:divBdr>
        </w:div>
        <w:div w:id="160127305">
          <w:marLeft w:val="0"/>
          <w:marRight w:val="0"/>
          <w:marTop w:val="0"/>
          <w:marBottom w:val="0"/>
          <w:divBdr>
            <w:top w:val="none" w:sz="0" w:space="0" w:color="auto"/>
            <w:left w:val="none" w:sz="0" w:space="0" w:color="auto"/>
            <w:bottom w:val="none" w:sz="0" w:space="0" w:color="auto"/>
            <w:right w:val="none" w:sz="0" w:space="0" w:color="auto"/>
          </w:divBdr>
        </w:div>
        <w:div w:id="160127306">
          <w:marLeft w:val="0"/>
          <w:marRight w:val="0"/>
          <w:marTop w:val="0"/>
          <w:marBottom w:val="0"/>
          <w:divBdr>
            <w:top w:val="none" w:sz="0" w:space="0" w:color="auto"/>
            <w:left w:val="none" w:sz="0" w:space="0" w:color="auto"/>
            <w:bottom w:val="none" w:sz="0" w:space="0" w:color="auto"/>
            <w:right w:val="none" w:sz="0" w:space="0" w:color="auto"/>
          </w:divBdr>
        </w:div>
        <w:div w:id="160127314">
          <w:marLeft w:val="0"/>
          <w:marRight w:val="0"/>
          <w:marTop w:val="0"/>
          <w:marBottom w:val="0"/>
          <w:divBdr>
            <w:top w:val="none" w:sz="0" w:space="0" w:color="auto"/>
            <w:left w:val="none" w:sz="0" w:space="0" w:color="auto"/>
            <w:bottom w:val="none" w:sz="0" w:space="0" w:color="auto"/>
            <w:right w:val="none" w:sz="0" w:space="0" w:color="auto"/>
          </w:divBdr>
        </w:div>
        <w:div w:id="160127319">
          <w:marLeft w:val="0"/>
          <w:marRight w:val="0"/>
          <w:marTop w:val="0"/>
          <w:marBottom w:val="0"/>
          <w:divBdr>
            <w:top w:val="none" w:sz="0" w:space="0" w:color="auto"/>
            <w:left w:val="none" w:sz="0" w:space="0" w:color="auto"/>
            <w:bottom w:val="none" w:sz="0" w:space="0" w:color="auto"/>
            <w:right w:val="none" w:sz="0" w:space="0" w:color="auto"/>
          </w:divBdr>
        </w:div>
        <w:div w:id="160127320">
          <w:marLeft w:val="0"/>
          <w:marRight w:val="0"/>
          <w:marTop w:val="0"/>
          <w:marBottom w:val="0"/>
          <w:divBdr>
            <w:top w:val="none" w:sz="0" w:space="0" w:color="auto"/>
            <w:left w:val="none" w:sz="0" w:space="0" w:color="auto"/>
            <w:bottom w:val="none" w:sz="0" w:space="0" w:color="auto"/>
            <w:right w:val="none" w:sz="0" w:space="0" w:color="auto"/>
          </w:divBdr>
        </w:div>
        <w:div w:id="160127321">
          <w:marLeft w:val="0"/>
          <w:marRight w:val="0"/>
          <w:marTop w:val="0"/>
          <w:marBottom w:val="0"/>
          <w:divBdr>
            <w:top w:val="none" w:sz="0" w:space="0" w:color="auto"/>
            <w:left w:val="none" w:sz="0" w:space="0" w:color="auto"/>
            <w:bottom w:val="none" w:sz="0" w:space="0" w:color="auto"/>
            <w:right w:val="none" w:sz="0" w:space="0" w:color="auto"/>
          </w:divBdr>
        </w:div>
        <w:div w:id="160127322">
          <w:marLeft w:val="0"/>
          <w:marRight w:val="0"/>
          <w:marTop w:val="0"/>
          <w:marBottom w:val="0"/>
          <w:divBdr>
            <w:top w:val="none" w:sz="0" w:space="0" w:color="auto"/>
            <w:left w:val="none" w:sz="0" w:space="0" w:color="auto"/>
            <w:bottom w:val="none" w:sz="0" w:space="0" w:color="auto"/>
            <w:right w:val="none" w:sz="0" w:space="0" w:color="auto"/>
          </w:divBdr>
        </w:div>
        <w:div w:id="160127328">
          <w:marLeft w:val="0"/>
          <w:marRight w:val="0"/>
          <w:marTop w:val="0"/>
          <w:marBottom w:val="0"/>
          <w:divBdr>
            <w:top w:val="none" w:sz="0" w:space="0" w:color="auto"/>
            <w:left w:val="none" w:sz="0" w:space="0" w:color="auto"/>
            <w:bottom w:val="none" w:sz="0" w:space="0" w:color="auto"/>
            <w:right w:val="none" w:sz="0" w:space="0" w:color="auto"/>
          </w:divBdr>
        </w:div>
        <w:div w:id="160127330">
          <w:marLeft w:val="0"/>
          <w:marRight w:val="0"/>
          <w:marTop w:val="0"/>
          <w:marBottom w:val="0"/>
          <w:divBdr>
            <w:top w:val="none" w:sz="0" w:space="0" w:color="auto"/>
            <w:left w:val="none" w:sz="0" w:space="0" w:color="auto"/>
            <w:bottom w:val="none" w:sz="0" w:space="0" w:color="auto"/>
            <w:right w:val="none" w:sz="0" w:space="0" w:color="auto"/>
          </w:divBdr>
        </w:div>
        <w:div w:id="160127333">
          <w:marLeft w:val="0"/>
          <w:marRight w:val="0"/>
          <w:marTop w:val="0"/>
          <w:marBottom w:val="0"/>
          <w:divBdr>
            <w:top w:val="none" w:sz="0" w:space="0" w:color="auto"/>
            <w:left w:val="none" w:sz="0" w:space="0" w:color="auto"/>
            <w:bottom w:val="none" w:sz="0" w:space="0" w:color="auto"/>
            <w:right w:val="none" w:sz="0" w:space="0" w:color="auto"/>
          </w:divBdr>
        </w:div>
        <w:div w:id="160127334">
          <w:marLeft w:val="0"/>
          <w:marRight w:val="0"/>
          <w:marTop w:val="0"/>
          <w:marBottom w:val="0"/>
          <w:divBdr>
            <w:top w:val="none" w:sz="0" w:space="0" w:color="auto"/>
            <w:left w:val="none" w:sz="0" w:space="0" w:color="auto"/>
            <w:bottom w:val="none" w:sz="0" w:space="0" w:color="auto"/>
            <w:right w:val="none" w:sz="0" w:space="0" w:color="auto"/>
          </w:divBdr>
        </w:div>
        <w:div w:id="160127335">
          <w:marLeft w:val="0"/>
          <w:marRight w:val="0"/>
          <w:marTop w:val="0"/>
          <w:marBottom w:val="0"/>
          <w:divBdr>
            <w:top w:val="none" w:sz="0" w:space="0" w:color="auto"/>
            <w:left w:val="none" w:sz="0" w:space="0" w:color="auto"/>
            <w:bottom w:val="none" w:sz="0" w:space="0" w:color="auto"/>
            <w:right w:val="none" w:sz="0" w:space="0" w:color="auto"/>
          </w:divBdr>
        </w:div>
        <w:div w:id="160127337">
          <w:marLeft w:val="0"/>
          <w:marRight w:val="0"/>
          <w:marTop w:val="0"/>
          <w:marBottom w:val="0"/>
          <w:divBdr>
            <w:top w:val="none" w:sz="0" w:space="0" w:color="auto"/>
            <w:left w:val="none" w:sz="0" w:space="0" w:color="auto"/>
            <w:bottom w:val="none" w:sz="0" w:space="0" w:color="auto"/>
            <w:right w:val="none" w:sz="0" w:space="0" w:color="auto"/>
          </w:divBdr>
        </w:div>
        <w:div w:id="160127338">
          <w:marLeft w:val="0"/>
          <w:marRight w:val="0"/>
          <w:marTop w:val="0"/>
          <w:marBottom w:val="0"/>
          <w:divBdr>
            <w:top w:val="none" w:sz="0" w:space="0" w:color="auto"/>
            <w:left w:val="none" w:sz="0" w:space="0" w:color="auto"/>
            <w:bottom w:val="none" w:sz="0" w:space="0" w:color="auto"/>
            <w:right w:val="none" w:sz="0" w:space="0" w:color="auto"/>
          </w:divBdr>
        </w:div>
        <w:div w:id="160127340">
          <w:marLeft w:val="0"/>
          <w:marRight w:val="0"/>
          <w:marTop w:val="0"/>
          <w:marBottom w:val="0"/>
          <w:divBdr>
            <w:top w:val="none" w:sz="0" w:space="0" w:color="auto"/>
            <w:left w:val="none" w:sz="0" w:space="0" w:color="auto"/>
            <w:bottom w:val="none" w:sz="0" w:space="0" w:color="auto"/>
            <w:right w:val="none" w:sz="0" w:space="0" w:color="auto"/>
          </w:divBdr>
        </w:div>
        <w:div w:id="160127344">
          <w:marLeft w:val="0"/>
          <w:marRight w:val="0"/>
          <w:marTop w:val="0"/>
          <w:marBottom w:val="0"/>
          <w:divBdr>
            <w:top w:val="none" w:sz="0" w:space="0" w:color="auto"/>
            <w:left w:val="none" w:sz="0" w:space="0" w:color="auto"/>
            <w:bottom w:val="none" w:sz="0" w:space="0" w:color="auto"/>
            <w:right w:val="none" w:sz="0" w:space="0" w:color="auto"/>
          </w:divBdr>
        </w:div>
        <w:div w:id="160127345">
          <w:marLeft w:val="0"/>
          <w:marRight w:val="0"/>
          <w:marTop w:val="0"/>
          <w:marBottom w:val="0"/>
          <w:divBdr>
            <w:top w:val="none" w:sz="0" w:space="0" w:color="auto"/>
            <w:left w:val="none" w:sz="0" w:space="0" w:color="auto"/>
            <w:bottom w:val="none" w:sz="0" w:space="0" w:color="auto"/>
            <w:right w:val="none" w:sz="0" w:space="0" w:color="auto"/>
          </w:divBdr>
        </w:div>
        <w:div w:id="160127349">
          <w:marLeft w:val="0"/>
          <w:marRight w:val="0"/>
          <w:marTop w:val="0"/>
          <w:marBottom w:val="0"/>
          <w:divBdr>
            <w:top w:val="none" w:sz="0" w:space="0" w:color="auto"/>
            <w:left w:val="none" w:sz="0" w:space="0" w:color="auto"/>
            <w:bottom w:val="none" w:sz="0" w:space="0" w:color="auto"/>
            <w:right w:val="none" w:sz="0" w:space="0" w:color="auto"/>
          </w:divBdr>
        </w:div>
        <w:div w:id="160127350">
          <w:marLeft w:val="0"/>
          <w:marRight w:val="0"/>
          <w:marTop w:val="0"/>
          <w:marBottom w:val="0"/>
          <w:divBdr>
            <w:top w:val="none" w:sz="0" w:space="0" w:color="auto"/>
            <w:left w:val="none" w:sz="0" w:space="0" w:color="auto"/>
            <w:bottom w:val="none" w:sz="0" w:space="0" w:color="auto"/>
            <w:right w:val="none" w:sz="0" w:space="0" w:color="auto"/>
          </w:divBdr>
        </w:div>
        <w:div w:id="160127357">
          <w:marLeft w:val="0"/>
          <w:marRight w:val="0"/>
          <w:marTop w:val="0"/>
          <w:marBottom w:val="0"/>
          <w:divBdr>
            <w:top w:val="none" w:sz="0" w:space="0" w:color="auto"/>
            <w:left w:val="none" w:sz="0" w:space="0" w:color="auto"/>
            <w:bottom w:val="none" w:sz="0" w:space="0" w:color="auto"/>
            <w:right w:val="none" w:sz="0" w:space="0" w:color="auto"/>
          </w:divBdr>
        </w:div>
        <w:div w:id="160127359">
          <w:marLeft w:val="0"/>
          <w:marRight w:val="0"/>
          <w:marTop w:val="0"/>
          <w:marBottom w:val="0"/>
          <w:divBdr>
            <w:top w:val="none" w:sz="0" w:space="0" w:color="auto"/>
            <w:left w:val="none" w:sz="0" w:space="0" w:color="auto"/>
            <w:bottom w:val="none" w:sz="0" w:space="0" w:color="auto"/>
            <w:right w:val="none" w:sz="0" w:space="0" w:color="auto"/>
          </w:divBdr>
        </w:div>
        <w:div w:id="160127360">
          <w:marLeft w:val="0"/>
          <w:marRight w:val="0"/>
          <w:marTop w:val="0"/>
          <w:marBottom w:val="0"/>
          <w:divBdr>
            <w:top w:val="none" w:sz="0" w:space="0" w:color="auto"/>
            <w:left w:val="none" w:sz="0" w:space="0" w:color="auto"/>
            <w:bottom w:val="none" w:sz="0" w:space="0" w:color="auto"/>
            <w:right w:val="none" w:sz="0" w:space="0" w:color="auto"/>
          </w:divBdr>
        </w:div>
        <w:div w:id="160127362">
          <w:marLeft w:val="0"/>
          <w:marRight w:val="0"/>
          <w:marTop w:val="0"/>
          <w:marBottom w:val="0"/>
          <w:divBdr>
            <w:top w:val="none" w:sz="0" w:space="0" w:color="auto"/>
            <w:left w:val="none" w:sz="0" w:space="0" w:color="auto"/>
            <w:bottom w:val="none" w:sz="0" w:space="0" w:color="auto"/>
            <w:right w:val="none" w:sz="0" w:space="0" w:color="auto"/>
          </w:divBdr>
        </w:div>
        <w:div w:id="160127363">
          <w:marLeft w:val="0"/>
          <w:marRight w:val="0"/>
          <w:marTop w:val="0"/>
          <w:marBottom w:val="0"/>
          <w:divBdr>
            <w:top w:val="none" w:sz="0" w:space="0" w:color="auto"/>
            <w:left w:val="none" w:sz="0" w:space="0" w:color="auto"/>
            <w:bottom w:val="none" w:sz="0" w:space="0" w:color="auto"/>
            <w:right w:val="none" w:sz="0" w:space="0" w:color="auto"/>
          </w:divBdr>
        </w:div>
        <w:div w:id="160127367">
          <w:marLeft w:val="0"/>
          <w:marRight w:val="0"/>
          <w:marTop w:val="0"/>
          <w:marBottom w:val="0"/>
          <w:divBdr>
            <w:top w:val="none" w:sz="0" w:space="0" w:color="auto"/>
            <w:left w:val="none" w:sz="0" w:space="0" w:color="auto"/>
            <w:bottom w:val="none" w:sz="0" w:space="0" w:color="auto"/>
            <w:right w:val="none" w:sz="0" w:space="0" w:color="auto"/>
          </w:divBdr>
        </w:div>
        <w:div w:id="160127368">
          <w:marLeft w:val="0"/>
          <w:marRight w:val="0"/>
          <w:marTop w:val="0"/>
          <w:marBottom w:val="0"/>
          <w:divBdr>
            <w:top w:val="none" w:sz="0" w:space="0" w:color="auto"/>
            <w:left w:val="none" w:sz="0" w:space="0" w:color="auto"/>
            <w:bottom w:val="none" w:sz="0" w:space="0" w:color="auto"/>
            <w:right w:val="none" w:sz="0" w:space="0" w:color="auto"/>
          </w:divBdr>
        </w:div>
        <w:div w:id="160127369">
          <w:marLeft w:val="0"/>
          <w:marRight w:val="0"/>
          <w:marTop w:val="0"/>
          <w:marBottom w:val="0"/>
          <w:divBdr>
            <w:top w:val="none" w:sz="0" w:space="0" w:color="auto"/>
            <w:left w:val="none" w:sz="0" w:space="0" w:color="auto"/>
            <w:bottom w:val="none" w:sz="0" w:space="0" w:color="auto"/>
            <w:right w:val="none" w:sz="0" w:space="0" w:color="auto"/>
          </w:divBdr>
        </w:div>
        <w:div w:id="160127371">
          <w:marLeft w:val="0"/>
          <w:marRight w:val="0"/>
          <w:marTop w:val="0"/>
          <w:marBottom w:val="0"/>
          <w:divBdr>
            <w:top w:val="none" w:sz="0" w:space="0" w:color="auto"/>
            <w:left w:val="none" w:sz="0" w:space="0" w:color="auto"/>
            <w:bottom w:val="none" w:sz="0" w:space="0" w:color="auto"/>
            <w:right w:val="none" w:sz="0" w:space="0" w:color="auto"/>
          </w:divBdr>
        </w:div>
        <w:div w:id="160127373">
          <w:marLeft w:val="0"/>
          <w:marRight w:val="0"/>
          <w:marTop w:val="0"/>
          <w:marBottom w:val="0"/>
          <w:divBdr>
            <w:top w:val="none" w:sz="0" w:space="0" w:color="auto"/>
            <w:left w:val="none" w:sz="0" w:space="0" w:color="auto"/>
            <w:bottom w:val="none" w:sz="0" w:space="0" w:color="auto"/>
            <w:right w:val="none" w:sz="0" w:space="0" w:color="auto"/>
          </w:divBdr>
        </w:div>
        <w:div w:id="160127376">
          <w:marLeft w:val="0"/>
          <w:marRight w:val="0"/>
          <w:marTop w:val="0"/>
          <w:marBottom w:val="0"/>
          <w:divBdr>
            <w:top w:val="none" w:sz="0" w:space="0" w:color="auto"/>
            <w:left w:val="none" w:sz="0" w:space="0" w:color="auto"/>
            <w:bottom w:val="none" w:sz="0" w:space="0" w:color="auto"/>
            <w:right w:val="none" w:sz="0" w:space="0" w:color="auto"/>
          </w:divBdr>
        </w:div>
        <w:div w:id="160127380">
          <w:marLeft w:val="0"/>
          <w:marRight w:val="0"/>
          <w:marTop w:val="0"/>
          <w:marBottom w:val="0"/>
          <w:divBdr>
            <w:top w:val="none" w:sz="0" w:space="0" w:color="auto"/>
            <w:left w:val="none" w:sz="0" w:space="0" w:color="auto"/>
            <w:bottom w:val="none" w:sz="0" w:space="0" w:color="auto"/>
            <w:right w:val="none" w:sz="0" w:space="0" w:color="auto"/>
          </w:divBdr>
        </w:div>
        <w:div w:id="160127382">
          <w:marLeft w:val="0"/>
          <w:marRight w:val="0"/>
          <w:marTop w:val="0"/>
          <w:marBottom w:val="0"/>
          <w:divBdr>
            <w:top w:val="none" w:sz="0" w:space="0" w:color="auto"/>
            <w:left w:val="none" w:sz="0" w:space="0" w:color="auto"/>
            <w:bottom w:val="none" w:sz="0" w:space="0" w:color="auto"/>
            <w:right w:val="none" w:sz="0" w:space="0" w:color="auto"/>
          </w:divBdr>
        </w:div>
        <w:div w:id="160127385">
          <w:marLeft w:val="0"/>
          <w:marRight w:val="0"/>
          <w:marTop w:val="0"/>
          <w:marBottom w:val="0"/>
          <w:divBdr>
            <w:top w:val="none" w:sz="0" w:space="0" w:color="auto"/>
            <w:left w:val="none" w:sz="0" w:space="0" w:color="auto"/>
            <w:bottom w:val="none" w:sz="0" w:space="0" w:color="auto"/>
            <w:right w:val="none" w:sz="0" w:space="0" w:color="auto"/>
          </w:divBdr>
        </w:div>
        <w:div w:id="160127386">
          <w:marLeft w:val="0"/>
          <w:marRight w:val="0"/>
          <w:marTop w:val="0"/>
          <w:marBottom w:val="0"/>
          <w:divBdr>
            <w:top w:val="none" w:sz="0" w:space="0" w:color="auto"/>
            <w:left w:val="none" w:sz="0" w:space="0" w:color="auto"/>
            <w:bottom w:val="none" w:sz="0" w:space="0" w:color="auto"/>
            <w:right w:val="none" w:sz="0" w:space="0" w:color="auto"/>
          </w:divBdr>
        </w:div>
        <w:div w:id="160127388">
          <w:marLeft w:val="0"/>
          <w:marRight w:val="0"/>
          <w:marTop w:val="0"/>
          <w:marBottom w:val="0"/>
          <w:divBdr>
            <w:top w:val="none" w:sz="0" w:space="0" w:color="auto"/>
            <w:left w:val="none" w:sz="0" w:space="0" w:color="auto"/>
            <w:bottom w:val="none" w:sz="0" w:space="0" w:color="auto"/>
            <w:right w:val="none" w:sz="0" w:space="0" w:color="auto"/>
          </w:divBdr>
        </w:div>
        <w:div w:id="160127390">
          <w:marLeft w:val="0"/>
          <w:marRight w:val="0"/>
          <w:marTop w:val="0"/>
          <w:marBottom w:val="0"/>
          <w:divBdr>
            <w:top w:val="none" w:sz="0" w:space="0" w:color="auto"/>
            <w:left w:val="none" w:sz="0" w:space="0" w:color="auto"/>
            <w:bottom w:val="none" w:sz="0" w:space="0" w:color="auto"/>
            <w:right w:val="none" w:sz="0" w:space="0" w:color="auto"/>
          </w:divBdr>
        </w:div>
        <w:div w:id="160127397">
          <w:marLeft w:val="0"/>
          <w:marRight w:val="0"/>
          <w:marTop w:val="0"/>
          <w:marBottom w:val="0"/>
          <w:divBdr>
            <w:top w:val="none" w:sz="0" w:space="0" w:color="auto"/>
            <w:left w:val="none" w:sz="0" w:space="0" w:color="auto"/>
            <w:bottom w:val="none" w:sz="0" w:space="0" w:color="auto"/>
            <w:right w:val="none" w:sz="0" w:space="0" w:color="auto"/>
          </w:divBdr>
        </w:div>
        <w:div w:id="160127398">
          <w:marLeft w:val="0"/>
          <w:marRight w:val="0"/>
          <w:marTop w:val="0"/>
          <w:marBottom w:val="0"/>
          <w:divBdr>
            <w:top w:val="none" w:sz="0" w:space="0" w:color="auto"/>
            <w:left w:val="none" w:sz="0" w:space="0" w:color="auto"/>
            <w:bottom w:val="none" w:sz="0" w:space="0" w:color="auto"/>
            <w:right w:val="none" w:sz="0" w:space="0" w:color="auto"/>
          </w:divBdr>
        </w:div>
        <w:div w:id="160127399">
          <w:marLeft w:val="0"/>
          <w:marRight w:val="0"/>
          <w:marTop w:val="0"/>
          <w:marBottom w:val="0"/>
          <w:divBdr>
            <w:top w:val="none" w:sz="0" w:space="0" w:color="auto"/>
            <w:left w:val="none" w:sz="0" w:space="0" w:color="auto"/>
            <w:bottom w:val="none" w:sz="0" w:space="0" w:color="auto"/>
            <w:right w:val="none" w:sz="0" w:space="0" w:color="auto"/>
          </w:divBdr>
        </w:div>
        <w:div w:id="160127400">
          <w:marLeft w:val="0"/>
          <w:marRight w:val="0"/>
          <w:marTop w:val="0"/>
          <w:marBottom w:val="0"/>
          <w:divBdr>
            <w:top w:val="none" w:sz="0" w:space="0" w:color="auto"/>
            <w:left w:val="none" w:sz="0" w:space="0" w:color="auto"/>
            <w:bottom w:val="none" w:sz="0" w:space="0" w:color="auto"/>
            <w:right w:val="none" w:sz="0" w:space="0" w:color="auto"/>
          </w:divBdr>
        </w:div>
        <w:div w:id="160127402">
          <w:marLeft w:val="0"/>
          <w:marRight w:val="0"/>
          <w:marTop w:val="0"/>
          <w:marBottom w:val="0"/>
          <w:divBdr>
            <w:top w:val="none" w:sz="0" w:space="0" w:color="auto"/>
            <w:left w:val="none" w:sz="0" w:space="0" w:color="auto"/>
            <w:bottom w:val="none" w:sz="0" w:space="0" w:color="auto"/>
            <w:right w:val="none" w:sz="0" w:space="0" w:color="auto"/>
          </w:divBdr>
        </w:div>
        <w:div w:id="160127405">
          <w:marLeft w:val="0"/>
          <w:marRight w:val="0"/>
          <w:marTop w:val="0"/>
          <w:marBottom w:val="0"/>
          <w:divBdr>
            <w:top w:val="none" w:sz="0" w:space="0" w:color="auto"/>
            <w:left w:val="none" w:sz="0" w:space="0" w:color="auto"/>
            <w:bottom w:val="none" w:sz="0" w:space="0" w:color="auto"/>
            <w:right w:val="none" w:sz="0" w:space="0" w:color="auto"/>
          </w:divBdr>
        </w:div>
        <w:div w:id="160127406">
          <w:marLeft w:val="0"/>
          <w:marRight w:val="0"/>
          <w:marTop w:val="0"/>
          <w:marBottom w:val="0"/>
          <w:divBdr>
            <w:top w:val="none" w:sz="0" w:space="0" w:color="auto"/>
            <w:left w:val="none" w:sz="0" w:space="0" w:color="auto"/>
            <w:bottom w:val="none" w:sz="0" w:space="0" w:color="auto"/>
            <w:right w:val="none" w:sz="0" w:space="0" w:color="auto"/>
          </w:divBdr>
        </w:div>
        <w:div w:id="160127408">
          <w:marLeft w:val="0"/>
          <w:marRight w:val="0"/>
          <w:marTop w:val="0"/>
          <w:marBottom w:val="0"/>
          <w:divBdr>
            <w:top w:val="none" w:sz="0" w:space="0" w:color="auto"/>
            <w:left w:val="none" w:sz="0" w:space="0" w:color="auto"/>
            <w:bottom w:val="none" w:sz="0" w:space="0" w:color="auto"/>
            <w:right w:val="none" w:sz="0" w:space="0" w:color="auto"/>
          </w:divBdr>
        </w:div>
        <w:div w:id="160127409">
          <w:marLeft w:val="0"/>
          <w:marRight w:val="0"/>
          <w:marTop w:val="0"/>
          <w:marBottom w:val="0"/>
          <w:divBdr>
            <w:top w:val="none" w:sz="0" w:space="0" w:color="auto"/>
            <w:left w:val="none" w:sz="0" w:space="0" w:color="auto"/>
            <w:bottom w:val="none" w:sz="0" w:space="0" w:color="auto"/>
            <w:right w:val="none" w:sz="0" w:space="0" w:color="auto"/>
          </w:divBdr>
        </w:div>
        <w:div w:id="160127410">
          <w:marLeft w:val="0"/>
          <w:marRight w:val="0"/>
          <w:marTop w:val="0"/>
          <w:marBottom w:val="0"/>
          <w:divBdr>
            <w:top w:val="none" w:sz="0" w:space="0" w:color="auto"/>
            <w:left w:val="none" w:sz="0" w:space="0" w:color="auto"/>
            <w:bottom w:val="none" w:sz="0" w:space="0" w:color="auto"/>
            <w:right w:val="none" w:sz="0" w:space="0" w:color="auto"/>
          </w:divBdr>
        </w:div>
        <w:div w:id="160127414">
          <w:marLeft w:val="0"/>
          <w:marRight w:val="0"/>
          <w:marTop w:val="0"/>
          <w:marBottom w:val="0"/>
          <w:divBdr>
            <w:top w:val="none" w:sz="0" w:space="0" w:color="auto"/>
            <w:left w:val="none" w:sz="0" w:space="0" w:color="auto"/>
            <w:bottom w:val="none" w:sz="0" w:space="0" w:color="auto"/>
            <w:right w:val="none" w:sz="0" w:space="0" w:color="auto"/>
          </w:divBdr>
        </w:div>
        <w:div w:id="160127415">
          <w:marLeft w:val="0"/>
          <w:marRight w:val="0"/>
          <w:marTop w:val="0"/>
          <w:marBottom w:val="0"/>
          <w:divBdr>
            <w:top w:val="none" w:sz="0" w:space="0" w:color="auto"/>
            <w:left w:val="none" w:sz="0" w:space="0" w:color="auto"/>
            <w:bottom w:val="none" w:sz="0" w:space="0" w:color="auto"/>
            <w:right w:val="none" w:sz="0" w:space="0" w:color="auto"/>
          </w:divBdr>
        </w:div>
        <w:div w:id="160127416">
          <w:marLeft w:val="0"/>
          <w:marRight w:val="0"/>
          <w:marTop w:val="0"/>
          <w:marBottom w:val="0"/>
          <w:divBdr>
            <w:top w:val="none" w:sz="0" w:space="0" w:color="auto"/>
            <w:left w:val="none" w:sz="0" w:space="0" w:color="auto"/>
            <w:bottom w:val="none" w:sz="0" w:space="0" w:color="auto"/>
            <w:right w:val="none" w:sz="0" w:space="0" w:color="auto"/>
          </w:divBdr>
        </w:div>
        <w:div w:id="160127421">
          <w:marLeft w:val="0"/>
          <w:marRight w:val="0"/>
          <w:marTop w:val="0"/>
          <w:marBottom w:val="0"/>
          <w:divBdr>
            <w:top w:val="none" w:sz="0" w:space="0" w:color="auto"/>
            <w:left w:val="none" w:sz="0" w:space="0" w:color="auto"/>
            <w:bottom w:val="none" w:sz="0" w:space="0" w:color="auto"/>
            <w:right w:val="none" w:sz="0" w:space="0" w:color="auto"/>
          </w:divBdr>
        </w:div>
        <w:div w:id="160127424">
          <w:marLeft w:val="0"/>
          <w:marRight w:val="0"/>
          <w:marTop w:val="0"/>
          <w:marBottom w:val="0"/>
          <w:divBdr>
            <w:top w:val="none" w:sz="0" w:space="0" w:color="auto"/>
            <w:left w:val="none" w:sz="0" w:space="0" w:color="auto"/>
            <w:bottom w:val="none" w:sz="0" w:space="0" w:color="auto"/>
            <w:right w:val="none" w:sz="0" w:space="0" w:color="auto"/>
          </w:divBdr>
        </w:div>
        <w:div w:id="160127427">
          <w:marLeft w:val="0"/>
          <w:marRight w:val="0"/>
          <w:marTop w:val="0"/>
          <w:marBottom w:val="0"/>
          <w:divBdr>
            <w:top w:val="none" w:sz="0" w:space="0" w:color="auto"/>
            <w:left w:val="none" w:sz="0" w:space="0" w:color="auto"/>
            <w:bottom w:val="none" w:sz="0" w:space="0" w:color="auto"/>
            <w:right w:val="none" w:sz="0" w:space="0" w:color="auto"/>
          </w:divBdr>
        </w:div>
        <w:div w:id="160127429">
          <w:marLeft w:val="0"/>
          <w:marRight w:val="0"/>
          <w:marTop w:val="0"/>
          <w:marBottom w:val="0"/>
          <w:divBdr>
            <w:top w:val="none" w:sz="0" w:space="0" w:color="auto"/>
            <w:left w:val="none" w:sz="0" w:space="0" w:color="auto"/>
            <w:bottom w:val="none" w:sz="0" w:space="0" w:color="auto"/>
            <w:right w:val="none" w:sz="0" w:space="0" w:color="auto"/>
          </w:divBdr>
        </w:div>
        <w:div w:id="160127431">
          <w:marLeft w:val="0"/>
          <w:marRight w:val="0"/>
          <w:marTop w:val="0"/>
          <w:marBottom w:val="0"/>
          <w:divBdr>
            <w:top w:val="none" w:sz="0" w:space="0" w:color="auto"/>
            <w:left w:val="none" w:sz="0" w:space="0" w:color="auto"/>
            <w:bottom w:val="none" w:sz="0" w:space="0" w:color="auto"/>
            <w:right w:val="none" w:sz="0" w:space="0" w:color="auto"/>
          </w:divBdr>
        </w:div>
        <w:div w:id="160127439">
          <w:marLeft w:val="0"/>
          <w:marRight w:val="0"/>
          <w:marTop w:val="0"/>
          <w:marBottom w:val="0"/>
          <w:divBdr>
            <w:top w:val="none" w:sz="0" w:space="0" w:color="auto"/>
            <w:left w:val="none" w:sz="0" w:space="0" w:color="auto"/>
            <w:bottom w:val="none" w:sz="0" w:space="0" w:color="auto"/>
            <w:right w:val="none" w:sz="0" w:space="0" w:color="auto"/>
          </w:divBdr>
        </w:div>
        <w:div w:id="160127440">
          <w:marLeft w:val="0"/>
          <w:marRight w:val="0"/>
          <w:marTop w:val="0"/>
          <w:marBottom w:val="0"/>
          <w:divBdr>
            <w:top w:val="none" w:sz="0" w:space="0" w:color="auto"/>
            <w:left w:val="none" w:sz="0" w:space="0" w:color="auto"/>
            <w:bottom w:val="none" w:sz="0" w:space="0" w:color="auto"/>
            <w:right w:val="none" w:sz="0" w:space="0" w:color="auto"/>
          </w:divBdr>
        </w:div>
        <w:div w:id="160127442">
          <w:marLeft w:val="0"/>
          <w:marRight w:val="0"/>
          <w:marTop w:val="0"/>
          <w:marBottom w:val="0"/>
          <w:divBdr>
            <w:top w:val="none" w:sz="0" w:space="0" w:color="auto"/>
            <w:left w:val="none" w:sz="0" w:space="0" w:color="auto"/>
            <w:bottom w:val="none" w:sz="0" w:space="0" w:color="auto"/>
            <w:right w:val="none" w:sz="0" w:space="0" w:color="auto"/>
          </w:divBdr>
        </w:div>
        <w:div w:id="160127443">
          <w:marLeft w:val="0"/>
          <w:marRight w:val="0"/>
          <w:marTop w:val="0"/>
          <w:marBottom w:val="0"/>
          <w:divBdr>
            <w:top w:val="none" w:sz="0" w:space="0" w:color="auto"/>
            <w:left w:val="none" w:sz="0" w:space="0" w:color="auto"/>
            <w:bottom w:val="none" w:sz="0" w:space="0" w:color="auto"/>
            <w:right w:val="none" w:sz="0" w:space="0" w:color="auto"/>
          </w:divBdr>
        </w:div>
        <w:div w:id="160127445">
          <w:marLeft w:val="0"/>
          <w:marRight w:val="0"/>
          <w:marTop w:val="0"/>
          <w:marBottom w:val="0"/>
          <w:divBdr>
            <w:top w:val="none" w:sz="0" w:space="0" w:color="auto"/>
            <w:left w:val="none" w:sz="0" w:space="0" w:color="auto"/>
            <w:bottom w:val="none" w:sz="0" w:space="0" w:color="auto"/>
            <w:right w:val="none" w:sz="0" w:space="0" w:color="auto"/>
          </w:divBdr>
        </w:div>
        <w:div w:id="160127447">
          <w:marLeft w:val="0"/>
          <w:marRight w:val="0"/>
          <w:marTop w:val="0"/>
          <w:marBottom w:val="0"/>
          <w:divBdr>
            <w:top w:val="none" w:sz="0" w:space="0" w:color="auto"/>
            <w:left w:val="none" w:sz="0" w:space="0" w:color="auto"/>
            <w:bottom w:val="none" w:sz="0" w:space="0" w:color="auto"/>
            <w:right w:val="none" w:sz="0" w:space="0" w:color="auto"/>
          </w:divBdr>
        </w:div>
        <w:div w:id="160127448">
          <w:marLeft w:val="0"/>
          <w:marRight w:val="0"/>
          <w:marTop w:val="0"/>
          <w:marBottom w:val="0"/>
          <w:divBdr>
            <w:top w:val="none" w:sz="0" w:space="0" w:color="auto"/>
            <w:left w:val="none" w:sz="0" w:space="0" w:color="auto"/>
            <w:bottom w:val="none" w:sz="0" w:space="0" w:color="auto"/>
            <w:right w:val="none" w:sz="0" w:space="0" w:color="auto"/>
          </w:divBdr>
        </w:div>
        <w:div w:id="160127449">
          <w:marLeft w:val="0"/>
          <w:marRight w:val="0"/>
          <w:marTop w:val="0"/>
          <w:marBottom w:val="0"/>
          <w:divBdr>
            <w:top w:val="none" w:sz="0" w:space="0" w:color="auto"/>
            <w:left w:val="none" w:sz="0" w:space="0" w:color="auto"/>
            <w:bottom w:val="none" w:sz="0" w:space="0" w:color="auto"/>
            <w:right w:val="none" w:sz="0" w:space="0" w:color="auto"/>
          </w:divBdr>
        </w:div>
        <w:div w:id="160127452">
          <w:marLeft w:val="0"/>
          <w:marRight w:val="0"/>
          <w:marTop w:val="0"/>
          <w:marBottom w:val="0"/>
          <w:divBdr>
            <w:top w:val="none" w:sz="0" w:space="0" w:color="auto"/>
            <w:left w:val="none" w:sz="0" w:space="0" w:color="auto"/>
            <w:bottom w:val="none" w:sz="0" w:space="0" w:color="auto"/>
            <w:right w:val="none" w:sz="0" w:space="0" w:color="auto"/>
          </w:divBdr>
        </w:div>
        <w:div w:id="160127453">
          <w:marLeft w:val="0"/>
          <w:marRight w:val="0"/>
          <w:marTop w:val="0"/>
          <w:marBottom w:val="0"/>
          <w:divBdr>
            <w:top w:val="none" w:sz="0" w:space="0" w:color="auto"/>
            <w:left w:val="none" w:sz="0" w:space="0" w:color="auto"/>
            <w:bottom w:val="none" w:sz="0" w:space="0" w:color="auto"/>
            <w:right w:val="none" w:sz="0" w:space="0" w:color="auto"/>
          </w:divBdr>
        </w:div>
        <w:div w:id="160127455">
          <w:marLeft w:val="0"/>
          <w:marRight w:val="0"/>
          <w:marTop w:val="0"/>
          <w:marBottom w:val="0"/>
          <w:divBdr>
            <w:top w:val="none" w:sz="0" w:space="0" w:color="auto"/>
            <w:left w:val="none" w:sz="0" w:space="0" w:color="auto"/>
            <w:bottom w:val="none" w:sz="0" w:space="0" w:color="auto"/>
            <w:right w:val="none" w:sz="0" w:space="0" w:color="auto"/>
          </w:divBdr>
        </w:div>
        <w:div w:id="160127461">
          <w:marLeft w:val="0"/>
          <w:marRight w:val="0"/>
          <w:marTop w:val="0"/>
          <w:marBottom w:val="0"/>
          <w:divBdr>
            <w:top w:val="none" w:sz="0" w:space="0" w:color="auto"/>
            <w:left w:val="none" w:sz="0" w:space="0" w:color="auto"/>
            <w:bottom w:val="none" w:sz="0" w:space="0" w:color="auto"/>
            <w:right w:val="none" w:sz="0" w:space="0" w:color="auto"/>
          </w:divBdr>
        </w:div>
        <w:div w:id="160127462">
          <w:marLeft w:val="0"/>
          <w:marRight w:val="0"/>
          <w:marTop w:val="0"/>
          <w:marBottom w:val="0"/>
          <w:divBdr>
            <w:top w:val="none" w:sz="0" w:space="0" w:color="auto"/>
            <w:left w:val="none" w:sz="0" w:space="0" w:color="auto"/>
            <w:bottom w:val="none" w:sz="0" w:space="0" w:color="auto"/>
            <w:right w:val="none" w:sz="0" w:space="0" w:color="auto"/>
          </w:divBdr>
        </w:div>
        <w:div w:id="160127467">
          <w:marLeft w:val="0"/>
          <w:marRight w:val="0"/>
          <w:marTop w:val="0"/>
          <w:marBottom w:val="0"/>
          <w:divBdr>
            <w:top w:val="none" w:sz="0" w:space="0" w:color="auto"/>
            <w:left w:val="none" w:sz="0" w:space="0" w:color="auto"/>
            <w:bottom w:val="none" w:sz="0" w:space="0" w:color="auto"/>
            <w:right w:val="none" w:sz="0" w:space="0" w:color="auto"/>
          </w:divBdr>
        </w:div>
        <w:div w:id="160127470">
          <w:marLeft w:val="0"/>
          <w:marRight w:val="0"/>
          <w:marTop w:val="0"/>
          <w:marBottom w:val="0"/>
          <w:divBdr>
            <w:top w:val="none" w:sz="0" w:space="0" w:color="auto"/>
            <w:left w:val="none" w:sz="0" w:space="0" w:color="auto"/>
            <w:bottom w:val="none" w:sz="0" w:space="0" w:color="auto"/>
            <w:right w:val="none" w:sz="0" w:space="0" w:color="auto"/>
          </w:divBdr>
        </w:div>
        <w:div w:id="160127471">
          <w:marLeft w:val="0"/>
          <w:marRight w:val="0"/>
          <w:marTop w:val="0"/>
          <w:marBottom w:val="0"/>
          <w:divBdr>
            <w:top w:val="none" w:sz="0" w:space="0" w:color="auto"/>
            <w:left w:val="none" w:sz="0" w:space="0" w:color="auto"/>
            <w:bottom w:val="none" w:sz="0" w:space="0" w:color="auto"/>
            <w:right w:val="none" w:sz="0" w:space="0" w:color="auto"/>
          </w:divBdr>
        </w:div>
        <w:div w:id="160127472">
          <w:marLeft w:val="0"/>
          <w:marRight w:val="0"/>
          <w:marTop w:val="0"/>
          <w:marBottom w:val="0"/>
          <w:divBdr>
            <w:top w:val="none" w:sz="0" w:space="0" w:color="auto"/>
            <w:left w:val="none" w:sz="0" w:space="0" w:color="auto"/>
            <w:bottom w:val="none" w:sz="0" w:space="0" w:color="auto"/>
            <w:right w:val="none" w:sz="0" w:space="0" w:color="auto"/>
          </w:divBdr>
        </w:div>
        <w:div w:id="160127473">
          <w:marLeft w:val="0"/>
          <w:marRight w:val="0"/>
          <w:marTop w:val="0"/>
          <w:marBottom w:val="0"/>
          <w:divBdr>
            <w:top w:val="none" w:sz="0" w:space="0" w:color="auto"/>
            <w:left w:val="none" w:sz="0" w:space="0" w:color="auto"/>
            <w:bottom w:val="none" w:sz="0" w:space="0" w:color="auto"/>
            <w:right w:val="none" w:sz="0" w:space="0" w:color="auto"/>
          </w:divBdr>
        </w:div>
        <w:div w:id="160127476">
          <w:marLeft w:val="0"/>
          <w:marRight w:val="0"/>
          <w:marTop w:val="0"/>
          <w:marBottom w:val="0"/>
          <w:divBdr>
            <w:top w:val="none" w:sz="0" w:space="0" w:color="auto"/>
            <w:left w:val="none" w:sz="0" w:space="0" w:color="auto"/>
            <w:bottom w:val="none" w:sz="0" w:space="0" w:color="auto"/>
            <w:right w:val="none" w:sz="0" w:space="0" w:color="auto"/>
          </w:divBdr>
        </w:div>
        <w:div w:id="160127477">
          <w:marLeft w:val="0"/>
          <w:marRight w:val="0"/>
          <w:marTop w:val="0"/>
          <w:marBottom w:val="0"/>
          <w:divBdr>
            <w:top w:val="none" w:sz="0" w:space="0" w:color="auto"/>
            <w:left w:val="none" w:sz="0" w:space="0" w:color="auto"/>
            <w:bottom w:val="none" w:sz="0" w:space="0" w:color="auto"/>
            <w:right w:val="none" w:sz="0" w:space="0" w:color="auto"/>
          </w:divBdr>
        </w:div>
        <w:div w:id="160127484">
          <w:marLeft w:val="0"/>
          <w:marRight w:val="0"/>
          <w:marTop w:val="0"/>
          <w:marBottom w:val="0"/>
          <w:divBdr>
            <w:top w:val="none" w:sz="0" w:space="0" w:color="auto"/>
            <w:left w:val="none" w:sz="0" w:space="0" w:color="auto"/>
            <w:bottom w:val="none" w:sz="0" w:space="0" w:color="auto"/>
            <w:right w:val="none" w:sz="0" w:space="0" w:color="auto"/>
          </w:divBdr>
        </w:div>
        <w:div w:id="160127485">
          <w:marLeft w:val="0"/>
          <w:marRight w:val="0"/>
          <w:marTop w:val="0"/>
          <w:marBottom w:val="0"/>
          <w:divBdr>
            <w:top w:val="none" w:sz="0" w:space="0" w:color="auto"/>
            <w:left w:val="none" w:sz="0" w:space="0" w:color="auto"/>
            <w:bottom w:val="none" w:sz="0" w:space="0" w:color="auto"/>
            <w:right w:val="none" w:sz="0" w:space="0" w:color="auto"/>
          </w:divBdr>
        </w:div>
        <w:div w:id="160127486">
          <w:marLeft w:val="0"/>
          <w:marRight w:val="0"/>
          <w:marTop w:val="0"/>
          <w:marBottom w:val="0"/>
          <w:divBdr>
            <w:top w:val="none" w:sz="0" w:space="0" w:color="auto"/>
            <w:left w:val="none" w:sz="0" w:space="0" w:color="auto"/>
            <w:bottom w:val="none" w:sz="0" w:space="0" w:color="auto"/>
            <w:right w:val="none" w:sz="0" w:space="0" w:color="auto"/>
          </w:divBdr>
        </w:div>
        <w:div w:id="160127487">
          <w:marLeft w:val="0"/>
          <w:marRight w:val="0"/>
          <w:marTop w:val="0"/>
          <w:marBottom w:val="0"/>
          <w:divBdr>
            <w:top w:val="none" w:sz="0" w:space="0" w:color="auto"/>
            <w:left w:val="none" w:sz="0" w:space="0" w:color="auto"/>
            <w:bottom w:val="none" w:sz="0" w:space="0" w:color="auto"/>
            <w:right w:val="none" w:sz="0" w:space="0" w:color="auto"/>
          </w:divBdr>
        </w:div>
        <w:div w:id="160127488">
          <w:marLeft w:val="0"/>
          <w:marRight w:val="0"/>
          <w:marTop w:val="0"/>
          <w:marBottom w:val="0"/>
          <w:divBdr>
            <w:top w:val="none" w:sz="0" w:space="0" w:color="auto"/>
            <w:left w:val="none" w:sz="0" w:space="0" w:color="auto"/>
            <w:bottom w:val="none" w:sz="0" w:space="0" w:color="auto"/>
            <w:right w:val="none" w:sz="0" w:space="0" w:color="auto"/>
          </w:divBdr>
        </w:div>
        <w:div w:id="160127491">
          <w:marLeft w:val="0"/>
          <w:marRight w:val="0"/>
          <w:marTop w:val="0"/>
          <w:marBottom w:val="0"/>
          <w:divBdr>
            <w:top w:val="none" w:sz="0" w:space="0" w:color="auto"/>
            <w:left w:val="none" w:sz="0" w:space="0" w:color="auto"/>
            <w:bottom w:val="none" w:sz="0" w:space="0" w:color="auto"/>
            <w:right w:val="none" w:sz="0" w:space="0" w:color="auto"/>
          </w:divBdr>
        </w:div>
        <w:div w:id="160127493">
          <w:marLeft w:val="0"/>
          <w:marRight w:val="0"/>
          <w:marTop w:val="0"/>
          <w:marBottom w:val="0"/>
          <w:divBdr>
            <w:top w:val="none" w:sz="0" w:space="0" w:color="auto"/>
            <w:left w:val="none" w:sz="0" w:space="0" w:color="auto"/>
            <w:bottom w:val="none" w:sz="0" w:space="0" w:color="auto"/>
            <w:right w:val="none" w:sz="0" w:space="0" w:color="auto"/>
          </w:divBdr>
        </w:div>
        <w:div w:id="160127495">
          <w:marLeft w:val="0"/>
          <w:marRight w:val="0"/>
          <w:marTop w:val="0"/>
          <w:marBottom w:val="0"/>
          <w:divBdr>
            <w:top w:val="none" w:sz="0" w:space="0" w:color="auto"/>
            <w:left w:val="none" w:sz="0" w:space="0" w:color="auto"/>
            <w:bottom w:val="none" w:sz="0" w:space="0" w:color="auto"/>
            <w:right w:val="none" w:sz="0" w:space="0" w:color="auto"/>
          </w:divBdr>
        </w:div>
        <w:div w:id="160127496">
          <w:marLeft w:val="0"/>
          <w:marRight w:val="0"/>
          <w:marTop w:val="0"/>
          <w:marBottom w:val="0"/>
          <w:divBdr>
            <w:top w:val="none" w:sz="0" w:space="0" w:color="auto"/>
            <w:left w:val="none" w:sz="0" w:space="0" w:color="auto"/>
            <w:bottom w:val="none" w:sz="0" w:space="0" w:color="auto"/>
            <w:right w:val="none" w:sz="0" w:space="0" w:color="auto"/>
          </w:divBdr>
        </w:div>
        <w:div w:id="160127497">
          <w:marLeft w:val="0"/>
          <w:marRight w:val="0"/>
          <w:marTop w:val="0"/>
          <w:marBottom w:val="0"/>
          <w:divBdr>
            <w:top w:val="none" w:sz="0" w:space="0" w:color="auto"/>
            <w:left w:val="none" w:sz="0" w:space="0" w:color="auto"/>
            <w:bottom w:val="none" w:sz="0" w:space="0" w:color="auto"/>
            <w:right w:val="none" w:sz="0" w:space="0" w:color="auto"/>
          </w:divBdr>
        </w:div>
        <w:div w:id="160127498">
          <w:marLeft w:val="0"/>
          <w:marRight w:val="0"/>
          <w:marTop w:val="0"/>
          <w:marBottom w:val="0"/>
          <w:divBdr>
            <w:top w:val="none" w:sz="0" w:space="0" w:color="auto"/>
            <w:left w:val="none" w:sz="0" w:space="0" w:color="auto"/>
            <w:bottom w:val="none" w:sz="0" w:space="0" w:color="auto"/>
            <w:right w:val="none" w:sz="0" w:space="0" w:color="auto"/>
          </w:divBdr>
        </w:div>
        <w:div w:id="160127499">
          <w:marLeft w:val="0"/>
          <w:marRight w:val="0"/>
          <w:marTop w:val="0"/>
          <w:marBottom w:val="0"/>
          <w:divBdr>
            <w:top w:val="none" w:sz="0" w:space="0" w:color="auto"/>
            <w:left w:val="none" w:sz="0" w:space="0" w:color="auto"/>
            <w:bottom w:val="none" w:sz="0" w:space="0" w:color="auto"/>
            <w:right w:val="none" w:sz="0" w:space="0" w:color="auto"/>
          </w:divBdr>
        </w:div>
        <w:div w:id="160127500">
          <w:marLeft w:val="0"/>
          <w:marRight w:val="0"/>
          <w:marTop w:val="0"/>
          <w:marBottom w:val="0"/>
          <w:divBdr>
            <w:top w:val="none" w:sz="0" w:space="0" w:color="auto"/>
            <w:left w:val="none" w:sz="0" w:space="0" w:color="auto"/>
            <w:bottom w:val="none" w:sz="0" w:space="0" w:color="auto"/>
            <w:right w:val="none" w:sz="0" w:space="0" w:color="auto"/>
          </w:divBdr>
        </w:div>
        <w:div w:id="160127501">
          <w:marLeft w:val="0"/>
          <w:marRight w:val="0"/>
          <w:marTop w:val="0"/>
          <w:marBottom w:val="0"/>
          <w:divBdr>
            <w:top w:val="none" w:sz="0" w:space="0" w:color="auto"/>
            <w:left w:val="none" w:sz="0" w:space="0" w:color="auto"/>
            <w:bottom w:val="none" w:sz="0" w:space="0" w:color="auto"/>
            <w:right w:val="none" w:sz="0" w:space="0" w:color="auto"/>
          </w:divBdr>
        </w:div>
        <w:div w:id="160127502">
          <w:marLeft w:val="0"/>
          <w:marRight w:val="0"/>
          <w:marTop w:val="0"/>
          <w:marBottom w:val="0"/>
          <w:divBdr>
            <w:top w:val="none" w:sz="0" w:space="0" w:color="auto"/>
            <w:left w:val="none" w:sz="0" w:space="0" w:color="auto"/>
            <w:bottom w:val="none" w:sz="0" w:space="0" w:color="auto"/>
            <w:right w:val="none" w:sz="0" w:space="0" w:color="auto"/>
          </w:divBdr>
        </w:div>
        <w:div w:id="160127503">
          <w:marLeft w:val="0"/>
          <w:marRight w:val="0"/>
          <w:marTop w:val="0"/>
          <w:marBottom w:val="0"/>
          <w:divBdr>
            <w:top w:val="none" w:sz="0" w:space="0" w:color="auto"/>
            <w:left w:val="none" w:sz="0" w:space="0" w:color="auto"/>
            <w:bottom w:val="none" w:sz="0" w:space="0" w:color="auto"/>
            <w:right w:val="none" w:sz="0" w:space="0" w:color="auto"/>
          </w:divBdr>
        </w:div>
        <w:div w:id="160127506">
          <w:marLeft w:val="0"/>
          <w:marRight w:val="0"/>
          <w:marTop w:val="0"/>
          <w:marBottom w:val="0"/>
          <w:divBdr>
            <w:top w:val="none" w:sz="0" w:space="0" w:color="auto"/>
            <w:left w:val="none" w:sz="0" w:space="0" w:color="auto"/>
            <w:bottom w:val="none" w:sz="0" w:space="0" w:color="auto"/>
            <w:right w:val="none" w:sz="0" w:space="0" w:color="auto"/>
          </w:divBdr>
        </w:div>
        <w:div w:id="160127509">
          <w:marLeft w:val="0"/>
          <w:marRight w:val="0"/>
          <w:marTop w:val="0"/>
          <w:marBottom w:val="0"/>
          <w:divBdr>
            <w:top w:val="none" w:sz="0" w:space="0" w:color="auto"/>
            <w:left w:val="none" w:sz="0" w:space="0" w:color="auto"/>
            <w:bottom w:val="none" w:sz="0" w:space="0" w:color="auto"/>
            <w:right w:val="none" w:sz="0" w:space="0" w:color="auto"/>
          </w:divBdr>
        </w:div>
        <w:div w:id="160127510">
          <w:marLeft w:val="0"/>
          <w:marRight w:val="0"/>
          <w:marTop w:val="0"/>
          <w:marBottom w:val="0"/>
          <w:divBdr>
            <w:top w:val="none" w:sz="0" w:space="0" w:color="auto"/>
            <w:left w:val="none" w:sz="0" w:space="0" w:color="auto"/>
            <w:bottom w:val="none" w:sz="0" w:space="0" w:color="auto"/>
            <w:right w:val="none" w:sz="0" w:space="0" w:color="auto"/>
          </w:divBdr>
        </w:div>
        <w:div w:id="160127511">
          <w:marLeft w:val="0"/>
          <w:marRight w:val="0"/>
          <w:marTop w:val="0"/>
          <w:marBottom w:val="0"/>
          <w:divBdr>
            <w:top w:val="none" w:sz="0" w:space="0" w:color="auto"/>
            <w:left w:val="none" w:sz="0" w:space="0" w:color="auto"/>
            <w:bottom w:val="none" w:sz="0" w:space="0" w:color="auto"/>
            <w:right w:val="none" w:sz="0" w:space="0" w:color="auto"/>
          </w:divBdr>
        </w:div>
        <w:div w:id="160127512">
          <w:marLeft w:val="0"/>
          <w:marRight w:val="0"/>
          <w:marTop w:val="0"/>
          <w:marBottom w:val="0"/>
          <w:divBdr>
            <w:top w:val="none" w:sz="0" w:space="0" w:color="auto"/>
            <w:left w:val="none" w:sz="0" w:space="0" w:color="auto"/>
            <w:bottom w:val="none" w:sz="0" w:space="0" w:color="auto"/>
            <w:right w:val="none" w:sz="0" w:space="0" w:color="auto"/>
          </w:divBdr>
        </w:div>
        <w:div w:id="160127513">
          <w:marLeft w:val="0"/>
          <w:marRight w:val="0"/>
          <w:marTop w:val="0"/>
          <w:marBottom w:val="0"/>
          <w:divBdr>
            <w:top w:val="none" w:sz="0" w:space="0" w:color="auto"/>
            <w:left w:val="none" w:sz="0" w:space="0" w:color="auto"/>
            <w:bottom w:val="none" w:sz="0" w:space="0" w:color="auto"/>
            <w:right w:val="none" w:sz="0" w:space="0" w:color="auto"/>
          </w:divBdr>
        </w:div>
        <w:div w:id="160127514">
          <w:marLeft w:val="0"/>
          <w:marRight w:val="0"/>
          <w:marTop w:val="0"/>
          <w:marBottom w:val="0"/>
          <w:divBdr>
            <w:top w:val="none" w:sz="0" w:space="0" w:color="auto"/>
            <w:left w:val="none" w:sz="0" w:space="0" w:color="auto"/>
            <w:bottom w:val="none" w:sz="0" w:space="0" w:color="auto"/>
            <w:right w:val="none" w:sz="0" w:space="0" w:color="auto"/>
          </w:divBdr>
        </w:div>
        <w:div w:id="160127515">
          <w:marLeft w:val="0"/>
          <w:marRight w:val="0"/>
          <w:marTop w:val="0"/>
          <w:marBottom w:val="0"/>
          <w:divBdr>
            <w:top w:val="none" w:sz="0" w:space="0" w:color="auto"/>
            <w:left w:val="none" w:sz="0" w:space="0" w:color="auto"/>
            <w:bottom w:val="none" w:sz="0" w:space="0" w:color="auto"/>
            <w:right w:val="none" w:sz="0" w:space="0" w:color="auto"/>
          </w:divBdr>
        </w:div>
        <w:div w:id="160127517">
          <w:marLeft w:val="0"/>
          <w:marRight w:val="0"/>
          <w:marTop w:val="0"/>
          <w:marBottom w:val="0"/>
          <w:divBdr>
            <w:top w:val="none" w:sz="0" w:space="0" w:color="auto"/>
            <w:left w:val="none" w:sz="0" w:space="0" w:color="auto"/>
            <w:bottom w:val="none" w:sz="0" w:space="0" w:color="auto"/>
            <w:right w:val="none" w:sz="0" w:space="0" w:color="auto"/>
          </w:divBdr>
        </w:div>
      </w:divsChild>
    </w:div>
    <w:div w:id="160127327">
      <w:marLeft w:val="0"/>
      <w:marRight w:val="0"/>
      <w:marTop w:val="0"/>
      <w:marBottom w:val="0"/>
      <w:divBdr>
        <w:top w:val="none" w:sz="0" w:space="0" w:color="auto"/>
        <w:left w:val="none" w:sz="0" w:space="0" w:color="auto"/>
        <w:bottom w:val="none" w:sz="0" w:space="0" w:color="auto"/>
        <w:right w:val="none" w:sz="0" w:space="0" w:color="auto"/>
      </w:divBdr>
    </w:div>
    <w:div w:id="160127341">
      <w:marLeft w:val="0"/>
      <w:marRight w:val="0"/>
      <w:marTop w:val="0"/>
      <w:marBottom w:val="0"/>
      <w:divBdr>
        <w:top w:val="none" w:sz="0" w:space="0" w:color="auto"/>
        <w:left w:val="none" w:sz="0" w:space="0" w:color="auto"/>
        <w:bottom w:val="none" w:sz="0" w:space="0" w:color="auto"/>
        <w:right w:val="none" w:sz="0" w:space="0" w:color="auto"/>
      </w:divBdr>
    </w:div>
    <w:div w:id="160127364">
      <w:marLeft w:val="0"/>
      <w:marRight w:val="0"/>
      <w:marTop w:val="0"/>
      <w:marBottom w:val="0"/>
      <w:divBdr>
        <w:top w:val="none" w:sz="0" w:space="0" w:color="auto"/>
        <w:left w:val="none" w:sz="0" w:space="0" w:color="auto"/>
        <w:bottom w:val="none" w:sz="0" w:space="0" w:color="auto"/>
        <w:right w:val="none" w:sz="0" w:space="0" w:color="auto"/>
      </w:divBdr>
    </w:div>
    <w:div w:id="160127374">
      <w:marLeft w:val="0"/>
      <w:marRight w:val="0"/>
      <w:marTop w:val="0"/>
      <w:marBottom w:val="0"/>
      <w:divBdr>
        <w:top w:val="none" w:sz="0" w:space="0" w:color="auto"/>
        <w:left w:val="none" w:sz="0" w:space="0" w:color="auto"/>
        <w:bottom w:val="none" w:sz="0" w:space="0" w:color="auto"/>
        <w:right w:val="none" w:sz="0" w:space="0" w:color="auto"/>
      </w:divBdr>
    </w:div>
    <w:div w:id="160127437">
      <w:marLeft w:val="0"/>
      <w:marRight w:val="0"/>
      <w:marTop w:val="0"/>
      <w:marBottom w:val="0"/>
      <w:divBdr>
        <w:top w:val="none" w:sz="0" w:space="0" w:color="auto"/>
        <w:left w:val="none" w:sz="0" w:space="0" w:color="auto"/>
        <w:bottom w:val="none" w:sz="0" w:space="0" w:color="auto"/>
        <w:right w:val="none" w:sz="0" w:space="0" w:color="auto"/>
      </w:divBdr>
      <w:divsChild>
        <w:div w:id="160127283">
          <w:marLeft w:val="0"/>
          <w:marRight w:val="0"/>
          <w:marTop w:val="0"/>
          <w:marBottom w:val="0"/>
          <w:divBdr>
            <w:top w:val="none" w:sz="0" w:space="0" w:color="auto"/>
            <w:left w:val="none" w:sz="0" w:space="0" w:color="auto"/>
            <w:bottom w:val="none" w:sz="0" w:space="0" w:color="auto"/>
            <w:right w:val="none" w:sz="0" w:space="0" w:color="auto"/>
          </w:divBdr>
        </w:div>
        <w:div w:id="160127284">
          <w:marLeft w:val="0"/>
          <w:marRight w:val="0"/>
          <w:marTop w:val="0"/>
          <w:marBottom w:val="0"/>
          <w:divBdr>
            <w:top w:val="none" w:sz="0" w:space="0" w:color="auto"/>
            <w:left w:val="none" w:sz="0" w:space="0" w:color="auto"/>
            <w:bottom w:val="none" w:sz="0" w:space="0" w:color="auto"/>
            <w:right w:val="none" w:sz="0" w:space="0" w:color="auto"/>
          </w:divBdr>
        </w:div>
        <w:div w:id="160127288">
          <w:marLeft w:val="0"/>
          <w:marRight w:val="0"/>
          <w:marTop w:val="0"/>
          <w:marBottom w:val="0"/>
          <w:divBdr>
            <w:top w:val="none" w:sz="0" w:space="0" w:color="auto"/>
            <w:left w:val="none" w:sz="0" w:space="0" w:color="auto"/>
            <w:bottom w:val="none" w:sz="0" w:space="0" w:color="auto"/>
            <w:right w:val="none" w:sz="0" w:space="0" w:color="auto"/>
          </w:divBdr>
        </w:div>
        <w:div w:id="160127289">
          <w:marLeft w:val="0"/>
          <w:marRight w:val="0"/>
          <w:marTop w:val="0"/>
          <w:marBottom w:val="0"/>
          <w:divBdr>
            <w:top w:val="none" w:sz="0" w:space="0" w:color="auto"/>
            <w:left w:val="none" w:sz="0" w:space="0" w:color="auto"/>
            <w:bottom w:val="none" w:sz="0" w:space="0" w:color="auto"/>
            <w:right w:val="none" w:sz="0" w:space="0" w:color="auto"/>
          </w:divBdr>
        </w:div>
        <w:div w:id="160127290">
          <w:marLeft w:val="0"/>
          <w:marRight w:val="0"/>
          <w:marTop w:val="0"/>
          <w:marBottom w:val="0"/>
          <w:divBdr>
            <w:top w:val="none" w:sz="0" w:space="0" w:color="auto"/>
            <w:left w:val="none" w:sz="0" w:space="0" w:color="auto"/>
            <w:bottom w:val="none" w:sz="0" w:space="0" w:color="auto"/>
            <w:right w:val="none" w:sz="0" w:space="0" w:color="auto"/>
          </w:divBdr>
        </w:div>
        <w:div w:id="160127291">
          <w:marLeft w:val="0"/>
          <w:marRight w:val="0"/>
          <w:marTop w:val="0"/>
          <w:marBottom w:val="0"/>
          <w:divBdr>
            <w:top w:val="none" w:sz="0" w:space="0" w:color="auto"/>
            <w:left w:val="none" w:sz="0" w:space="0" w:color="auto"/>
            <w:bottom w:val="none" w:sz="0" w:space="0" w:color="auto"/>
            <w:right w:val="none" w:sz="0" w:space="0" w:color="auto"/>
          </w:divBdr>
        </w:div>
        <w:div w:id="160127293">
          <w:marLeft w:val="0"/>
          <w:marRight w:val="0"/>
          <w:marTop w:val="0"/>
          <w:marBottom w:val="0"/>
          <w:divBdr>
            <w:top w:val="none" w:sz="0" w:space="0" w:color="auto"/>
            <w:left w:val="none" w:sz="0" w:space="0" w:color="auto"/>
            <w:bottom w:val="none" w:sz="0" w:space="0" w:color="auto"/>
            <w:right w:val="none" w:sz="0" w:space="0" w:color="auto"/>
          </w:divBdr>
        </w:div>
        <w:div w:id="160127297">
          <w:marLeft w:val="0"/>
          <w:marRight w:val="0"/>
          <w:marTop w:val="0"/>
          <w:marBottom w:val="0"/>
          <w:divBdr>
            <w:top w:val="none" w:sz="0" w:space="0" w:color="auto"/>
            <w:left w:val="none" w:sz="0" w:space="0" w:color="auto"/>
            <w:bottom w:val="none" w:sz="0" w:space="0" w:color="auto"/>
            <w:right w:val="none" w:sz="0" w:space="0" w:color="auto"/>
          </w:divBdr>
        </w:div>
        <w:div w:id="160127299">
          <w:marLeft w:val="0"/>
          <w:marRight w:val="0"/>
          <w:marTop w:val="0"/>
          <w:marBottom w:val="0"/>
          <w:divBdr>
            <w:top w:val="none" w:sz="0" w:space="0" w:color="auto"/>
            <w:left w:val="none" w:sz="0" w:space="0" w:color="auto"/>
            <w:bottom w:val="none" w:sz="0" w:space="0" w:color="auto"/>
            <w:right w:val="none" w:sz="0" w:space="0" w:color="auto"/>
          </w:divBdr>
        </w:div>
        <w:div w:id="160127301">
          <w:marLeft w:val="0"/>
          <w:marRight w:val="0"/>
          <w:marTop w:val="0"/>
          <w:marBottom w:val="0"/>
          <w:divBdr>
            <w:top w:val="none" w:sz="0" w:space="0" w:color="auto"/>
            <w:left w:val="none" w:sz="0" w:space="0" w:color="auto"/>
            <w:bottom w:val="none" w:sz="0" w:space="0" w:color="auto"/>
            <w:right w:val="none" w:sz="0" w:space="0" w:color="auto"/>
          </w:divBdr>
        </w:div>
        <w:div w:id="160127308">
          <w:marLeft w:val="0"/>
          <w:marRight w:val="0"/>
          <w:marTop w:val="0"/>
          <w:marBottom w:val="0"/>
          <w:divBdr>
            <w:top w:val="none" w:sz="0" w:space="0" w:color="auto"/>
            <w:left w:val="none" w:sz="0" w:space="0" w:color="auto"/>
            <w:bottom w:val="none" w:sz="0" w:space="0" w:color="auto"/>
            <w:right w:val="none" w:sz="0" w:space="0" w:color="auto"/>
          </w:divBdr>
        </w:div>
        <w:div w:id="160127310">
          <w:marLeft w:val="0"/>
          <w:marRight w:val="0"/>
          <w:marTop w:val="0"/>
          <w:marBottom w:val="0"/>
          <w:divBdr>
            <w:top w:val="none" w:sz="0" w:space="0" w:color="auto"/>
            <w:left w:val="none" w:sz="0" w:space="0" w:color="auto"/>
            <w:bottom w:val="none" w:sz="0" w:space="0" w:color="auto"/>
            <w:right w:val="none" w:sz="0" w:space="0" w:color="auto"/>
          </w:divBdr>
        </w:div>
        <w:div w:id="160127312">
          <w:marLeft w:val="0"/>
          <w:marRight w:val="0"/>
          <w:marTop w:val="0"/>
          <w:marBottom w:val="0"/>
          <w:divBdr>
            <w:top w:val="none" w:sz="0" w:space="0" w:color="auto"/>
            <w:left w:val="none" w:sz="0" w:space="0" w:color="auto"/>
            <w:bottom w:val="none" w:sz="0" w:space="0" w:color="auto"/>
            <w:right w:val="none" w:sz="0" w:space="0" w:color="auto"/>
          </w:divBdr>
        </w:div>
        <w:div w:id="160127313">
          <w:marLeft w:val="0"/>
          <w:marRight w:val="0"/>
          <w:marTop w:val="0"/>
          <w:marBottom w:val="0"/>
          <w:divBdr>
            <w:top w:val="none" w:sz="0" w:space="0" w:color="auto"/>
            <w:left w:val="none" w:sz="0" w:space="0" w:color="auto"/>
            <w:bottom w:val="none" w:sz="0" w:space="0" w:color="auto"/>
            <w:right w:val="none" w:sz="0" w:space="0" w:color="auto"/>
          </w:divBdr>
        </w:div>
        <w:div w:id="160127315">
          <w:marLeft w:val="0"/>
          <w:marRight w:val="0"/>
          <w:marTop w:val="0"/>
          <w:marBottom w:val="0"/>
          <w:divBdr>
            <w:top w:val="none" w:sz="0" w:space="0" w:color="auto"/>
            <w:left w:val="none" w:sz="0" w:space="0" w:color="auto"/>
            <w:bottom w:val="none" w:sz="0" w:space="0" w:color="auto"/>
            <w:right w:val="none" w:sz="0" w:space="0" w:color="auto"/>
          </w:divBdr>
        </w:div>
        <w:div w:id="160127316">
          <w:marLeft w:val="0"/>
          <w:marRight w:val="0"/>
          <w:marTop w:val="0"/>
          <w:marBottom w:val="0"/>
          <w:divBdr>
            <w:top w:val="none" w:sz="0" w:space="0" w:color="auto"/>
            <w:left w:val="none" w:sz="0" w:space="0" w:color="auto"/>
            <w:bottom w:val="none" w:sz="0" w:space="0" w:color="auto"/>
            <w:right w:val="none" w:sz="0" w:space="0" w:color="auto"/>
          </w:divBdr>
        </w:div>
        <w:div w:id="160127317">
          <w:marLeft w:val="0"/>
          <w:marRight w:val="0"/>
          <w:marTop w:val="0"/>
          <w:marBottom w:val="0"/>
          <w:divBdr>
            <w:top w:val="none" w:sz="0" w:space="0" w:color="auto"/>
            <w:left w:val="none" w:sz="0" w:space="0" w:color="auto"/>
            <w:bottom w:val="none" w:sz="0" w:space="0" w:color="auto"/>
            <w:right w:val="none" w:sz="0" w:space="0" w:color="auto"/>
          </w:divBdr>
        </w:div>
        <w:div w:id="160127318">
          <w:marLeft w:val="0"/>
          <w:marRight w:val="0"/>
          <w:marTop w:val="0"/>
          <w:marBottom w:val="0"/>
          <w:divBdr>
            <w:top w:val="none" w:sz="0" w:space="0" w:color="auto"/>
            <w:left w:val="none" w:sz="0" w:space="0" w:color="auto"/>
            <w:bottom w:val="none" w:sz="0" w:space="0" w:color="auto"/>
            <w:right w:val="none" w:sz="0" w:space="0" w:color="auto"/>
          </w:divBdr>
        </w:div>
        <w:div w:id="160127323">
          <w:marLeft w:val="0"/>
          <w:marRight w:val="0"/>
          <w:marTop w:val="0"/>
          <w:marBottom w:val="0"/>
          <w:divBdr>
            <w:top w:val="none" w:sz="0" w:space="0" w:color="auto"/>
            <w:left w:val="none" w:sz="0" w:space="0" w:color="auto"/>
            <w:bottom w:val="none" w:sz="0" w:space="0" w:color="auto"/>
            <w:right w:val="none" w:sz="0" w:space="0" w:color="auto"/>
          </w:divBdr>
        </w:div>
        <w:div w:id="160127324">
          <w:marLeft w:val="0"/>
          <w:marRight w:val="0"/>
          <w:marTop w:val="0"/>
          <w:marBottom w:val="0"/>
          <w:divBdr>
            <w:top w:val="none" w:sz="0" w:space="0" w:color="auto"/>
            <w:left w:val="none" w:sz="0" w:space="0" w:color="auto"/>
            <w:bottom w:val="none" w:sz="0" w:space="0" w:color="auto"/>
            <w:right w:val="none" w:sz="0" w:space="0" w:color="auto"/>
          </w:divBdr>
        </w:div>
        <w:div w:id="160127325">
          <w:marLeft w:val="0"/>
          <w:marRight w:val="0"/>
          <w:marTop w:val="0"/>
          <w:marBottom w:val="0"/>
          <w:divBdr>
            <w:top w:val="none" w:sz="0" w:space="0" w:color="auto"/>
            <w:left w:val="none" w:sz="0" w:space="0" w:color="auto"/>
            <w:bottom w:val="none" w:sz="0" w:space="0" w:color="auto"/>
            <w:right w:val="none" w:sz="0" w:space="0" w:color="auto"/>
          </w:divBdr>
        </w:div>
        <w:div w:id="160127326">
          <w:marLeft w:val="0"/>
          <w:marRight w:val="0"/>
          <w:marTop w:val="0"/>
          <w:marBottom w:val="0"/>
          <w:divBdr>
            <w:top w:val="none" w:sz="0" w:space="0" w:color="auto"/>
            <w:left w:val="none" w:sz="0" w:space="0" w:color="auto"/>
            <w:bottom w:val="none" w:sz="0" w:space="0" w:color="auto"/>
            <w:right w:val="none" w:sz="0" w:space="0" w:color="auto"/>
          </w:divBdr>
        </w:div>
        <w:div w:id="160127329">
          <w:marLeft w:val="0"/>
          <w:marRight w:val="0"/>
          <w:marTop w:val="0"/>
          <w:marBottom w:val="0"/>
          <w:divBdr>
            <w:top w:val="none" w:sz="0" w:space="0" w:color="auto"/>
            <w:left w:val="none" w:sz="0" w:space="0" w:color="auto"/>
            <w:bottom w:val="none" w:sz="0" w:space="0" w:color="auto"/>
            <w:right w:val="none" w:sz="0" w:space="0" w:color="auto"/>
          </w:divBdr>
        </w:div>
        <w:div w:id="160127331">
          <w:marLeft w:val="0"/>
          <w:marRight w:val="0"/>
          <w:marTop w:val="0"/>
          <w:marBottom w:val="0"/>
          <w:divBdr>
            <w:top w:val="none" w:sz="0" w:space="0" w:color="auto"/>
            <w:left w:val="none" w:sz="0" w:space="0" w:color="auto"/>
            <w:bottom w:val="none" w:sz="0" w:space="0" w:color="auto"/>
            <w:right w:val="none" w:sz="0" w:space="0" w:color="auto"/>
          </w:divBdr>
        </w:div>
        <w:div w:id="160127332">
          <w:marLeft w:val="0"/>
          <w:marRight w:val="0"/>
          <w:marTop w:val="0"/>
          <w:marBottom w:val="0"/>
          <w:divBdr>
            <w:top w:val="none" w:sz="0" w:space="0" w:color="auto"/>
            <w:left w:val="none" w:sz="0" w:space="0" w:color="auto"/>
            <w:bottom w:val="none" w:sz="0" w:space="0" w:color="auto"/>
            <w:right w:val="none" w:sz="0" w:space="0" w:color="auto"/>
          </w:divBdr>
        </w:div>
        <w:div w:id="160127336">
          <w:marLeft w:val="0"/>
          <w:marRight w:val="0"/>
          <w:marTop w:val="0"/>
          <w:marBottom w:val="0"/>
          <w:divBdr>
            <w:top w:val="none" w:sz="0" w:space="0" w:color="auto"/>
            <w:left w:val="none" w:sz="0" w:space="0" w:color="auto"/>
            <w:bottom w:val="none" w:sz="0" w:space="0" w:color="auto"/>
            <w:right w:val="none" w:sz="0" w:space="0" w:color="auto"/>
          </w:divBdr>
        </w:div>
        <w:div w:id="160127339">
          <w:marLeft w:val="0"/>
          <w:marRight w:val="0"/>
          <w:marTop w:val="0"/>
          <w:marBottom w:val="0"/>
          <w:divBdr>
            <w:top w:val="none" w:sz="0" w:space="0" w:color="auto"/>
            <w:left w:val="none" w:sz="0" w:space="0" w:color="auto"/>
            <w:bottom w:val="none" w:sz="0" w:space="0" w:color="auto"/>
            <w:right w:val="none" w:sz="0" w:space="0" w:color="auto"/>
          </w:divBdr>
        </w:div>
        <w:div w:id="160127342">
          <w:marLeft w:val="0"/>
          <w:marRight w:val="0"/>
          <w:marTop w:val="0"/>
          <w:marBottom w:val="0"/>
          <w:divBdr>
            <w:top w:val="none" w:sz="0" w:space="0" w:color="auto"/>
            <w:left w:val="none" w:sz="0" w:space="0" w:color="auto"/>
            <w:bottom w:val="none" w:sz="0" w:space="0" w:color="auto"/>
            <w:right w:val="none" w:sz="0" w:space="0" w:color="auto"/>
          </w:divBdr>
        </w:div>
        <w:div w:id="160127343">
          <w:marLeft w:val="0"/>
          <w:marRight w:val="0"/>
          <w:marTop w:val="0"/>
          <w:marBottom w:val="0"/>
          <w:divBdr>
            <w:top w:val="none" w:sz="0" w:space="0" w:color="auto"/>
            <w:left w:val="none" w:sz="0" w:space="0" w:color="auto"/>
            <w:bottom w:val="none" w:sz="0" w:space="0" w:color="auto"/>
            <w:right w:val="none" w:sz="0" w:space="0" w:color="auto"/>
          </w:divBdr>
        </w:div>
        <w:div w:id="160127346">
          <w:marLeft w:val="0"/>
          <w:marRight w:val="0"/>
          <w:marTop w:val="0"/>
          <w:marBottom w:val="0"/>
          <w:divBdr>
            <w:top w:val="none" w:sz="0" w:space="0" w:color="auto"/>
            <w:left w:val="none" w:sz="0" w:space="0" w:color="auto"/>
            <w:bottom w:val="none" w:sz="0" w:space="0" w:color="auto"/>
            <w:right w:val="none" w:sz="0" w:space="0" w:color="auto"/>
          </w:divBdr>
        </w:div>
        <w:div w:id="160127347">
          <w:marLeft w:val="0"/>
          <w:marRight w:val="0"/>
          <w:marTop w:val="0"/>
          <w:marBottom w:val="0"/>
          <w:divBdr>
            <w:top w:val="none" w:sz="0" w:space="0" w:color="auto"/>
            <w:left w:val="none" w:sz="0" w:space="0" w:color="auto"/>
            <w:bottom w:val="none" w:sz="0" w:space="0" w:color="auto"/>
            <w:right w:val="none" w:sz="0" w:space="0" w:color="auto"/>
          </w:divBdr>
        </w:div>
        <w:div w:id="160127348">
          <w:marLeft w:val="0"/>
          <w:marRight w:val="0"/>
          <w:marTop w:val="0"/>
          <w:marBottom w:val="0"/>
          <w:divBdr>
            <w:top w:val="none" w:sz="0" w:space="0" w:color="auto"/>
            <w:left w:val="none" w:sz="0" w:space="0" w:color="auto"/>
            <w:bottom w:val="none" w:sz="0" w:space="0" w:color="auto"/>
            <w:right w:val="none" w:sz="0" w:space="0" w:color="auto"/>
          </w:divBdr>
        </w:div>
        <w:div w:id="160127351">
          <w:marLeft w:val="0"/>
          <w:marRight w:val="0"/>
          <w:marTop w:val="0"/>
          <w:marBottom w:val="0"/>
          <w:divBdr>
            <w:top w:val="none" w:sz="0" w:space="0" w:color="auto"/>
            <w:left w:val="none" w:sz="0" w:space="0" w:color="auto"/>
            <w:bottom w:val="none" w:sz="0" w:space="0" w:color="auto"/>
            <w:right w:val="none" w:sz="0" w:space="0" w:color="auto"/>
          </w:divBdr>
        </w:div>
        <w:div w:id="160127352">
          <w:marLeft w:val="0"/>
          <w:marRight w:val="0"/>
          <w:marTop w:val="0"/>
          <w:marBottom w:val="0"/>
          <w:divBdr>
            <w:top w:val="none" w:sz="0" w:space="0" w:color="auto"/>
            <w:left w:val="none" w:sz="0" w:space="0" w:color="auto"/>
            <w:bottom w:val="none" w:sz="0" w:space="0" w:color="auto"/>
            <w:right w:val="none" w:sz="0" w:space="0" w:color="auto"/>
          </w:divBdr>
        </w:div>
        <w:div w:id="160127353">
          <w:marLeft w:val="0"/>
          <w:marRight w:val="0"/>
          <w:marTop w:val="0"/>
          <w:marBottom w:val="0"/>
          <w:divBdr>
            <w:top w:val="none" w:sz="0" w:space="0" w:color="auto"/>
            <w:left w:val="none" w:sz="0" w:space="0" w:color="auto"/>
            <w:bottom w:val="none" w:sz="0" w:space="0" w:color="auto"/>
            <w:right w:val="none" w:sz="0" w:space="0" w:color="auto"/>
          </w:divBdr>
        </w:div>
        <w:div w:id="160127354">
          <w:marLeft w:val="0"/>
          <w:marRight w:val="0"/>
          <w:marTop w:val="0"/>
          <w:marBottom w:val="0"/>
          <w:divBdr>
            <w:top w:val="none" w:sz="0" w:space="0" w:color="auto"/>
            <w:left w:val="none" w:sz="0" w:space="0" w:color="auto"/>
            <w:bottom w:val="none" w:sz="0" w:space="0" w:color="auto"/>
            <w:right w:val="none" w:sz="0" w:space="0" w:color="auto"/>
          </w:divBdr>
        </w:div>
        <w:div w:id="160127355">
          <w:marLeft w:val="0"/>
          <w:marRight w:val="0"/>
          <w:marTop w:val="0"/>
          <w:marBottom w:val="0"/>
          <w:divBdr>
            <w:top w:val="none" w:sz="0" w:space="0" w:color="auto"/>
            <w:left w:val="none" w:sz="0" w:space="0" w:color="auto"/>
            <w:bottom w:val="none" w:sz="0" w:space="0" w:color="auto"/>
            <w:right w:val="none" w:sz="0" w:space="0" w:color="auto"/>
          </w:divBdr>
        </w:div>
        <w:div w:id="160127356">
          <w:marLeft w:val="0"/>
          <w:marRight w:val="0"/>
          <w:marTop w:val="0"/>
          <w:marBottom w:val="0"/>
          <w:divBdr>
            <w:top w:val="none" w:sz="0" w:space="0" w:color="auto"/>
            <w:left w:val="none" w:sz="0" w:space="0" w:color="auto"/>
            <w:bottom w:val="none" w:sz="0" w:space="0" w:color="auto"/>
            <w:right w:val="none" w:sz="0" w:space="0" w:color="auto"/>
          </w:divBdr>
        </w:div>
        <w:div w:id="160127358">
          <w:marLeft w:val="0"/>
          <w:marRight w:val="0"/>
          <w:marTop w:val="0"/>
          <w:marBottom w:val="0"/>
          <w:divBdr>
            <w:top w:val="none" w:sz="0" w:space="0" w:color="auto"/>
            <w:left w:val="none" w:sz="0" w:space="0" w:color="auto"/>
            <w:bottom w:val="none" w:sz="0" w:space="0" w:color="auto"/>
            <w:right w:val="none" w:sz="0" w:space="0" w:color="auto"/>
          </w:divBdr>
        </w:div>
        <w:div w:id="160127361">
          <w:marLeft w:val="0"/>
          <w:marRight w:val="0"/>
          <w:marTop w:val="0"/>
          <w:marBottom w:val="0"/>
          <w:divBdr>
            <w:top w:val="none" w:sz="0" w:space="0" w:color="auto"/>
            <w:left w:val="none" w:sz="0" w:space="0" w:color="auto"/>
            <w:bottom w:val="none" w:sz="0" w:space="0" w:color="auto"/>
            <w:right w:val="none" w:sz="0" w:space="0" w:color="auto"/>
          </w:divBdr>
        </w:div>
        <w:div w:id="160127365">
          <w:marLeft w:val="0"/>
          <w:marRight w:val="0"/>
          <w:marTop w:val="0"/>
          <w:marBottom w:val="0"/>
          <w:divBdr>
            <w:top w:val="none" w:sz="0" w:space="0" w:color="auto"/>
            <w:left w:val="none" w:sz="0" w:space="0" w:color="auto"/>
            <w:bottom w:val="none" w:sz="0" w:space="0" w:color="auto"/>
            <w:right w:val="none" w:sz="0" w:space="0" w:color="auto"/>
          </w:divBdr>
        </w:div>
        <w:div w:id="160127366">
          <w:marLeft w:val="0"/>
          <w:marRight w:val="0"/>
          <w:marTop w:val="0"/>
          <w:marBottom w:val="0"/>
          <w:divBdr>
            <w:top w:val="none" w:sz="0" w:space="0" w:color="auto"/>
            <w:left w:val="none" w:sz="0" w:space="0" w:color="auto"/>
            <w:bottom w:val="none" w:sz="0" w:space="0" w:color="auto"/>
            <w:right w:val="none" w:sz="0" w:space="0" w:color="auto"/>
          </w:divBdr>
        </w:div>
        <w:div w:id="160127370">
          <w:marLeft w:val="0"/>
          <w:marRight w:val="0"/>
          <w:marTop w:val="0"/>
          <w:marBottom w:val="0"/>
          <w:divBdr>
            <w:top w:val="none" w:sz="0" w:space="0" w:color="auto"/>
            <w:left w:val="none" w:sz="0" w:space="0" w:color="auto"/>
            <w:bottom w:val="none" w:sz="0" w:space="0" w:color="auto"/>
            <w:right w:val="none" w:sz="0" w:space="0" w:color="auto"/>
          </w:divBdr>
        </w:div>
        <w:div w:id="160127372">
          <w:marLeft w:val="0"/>
          <w:marRight w:val="0"/>
          <w:marTop w:val="0"/>
          <w:marBottom w:val="0"/>
          <w:divBdr>
            <w:top w:val="none" w:sz="0" w:space="0" w:color="auto"/>
            <w:left w:val="none" w:sz="0" w:space="0" w:color="auto"/>
            <w:bottom w:val="none" w:sz="0" w:space="0" w:color="auto"/>
            <w:right w:val="none" w:sz="0" w:space="0" w:color="auto"/>
          </w:divBdr>
        </w:div>
        <w:div w:id="160127375">
          <w:marLeft w:val="0"/>
          <w:marRight w:val="0"/>
          <w:marTop w:val="0"/>
          <w:marBottom w:val="0"/>
          <w:divBdr>
            <w:top w:val="none" w:sz="0" w:space="0" w:color="auto"/>
            <w:left w:val="none" w:sz="0" w:space="0" w:color="auto"/>
            <w:bottom w:val="none" w:sz="0" w:space="0" w:color="auto"/>
            <w:right w:val="none" w:sz="0" w:space="0" w:color="auto"/>
          </w:divBdr>
        </w:div>
        <w:div w:id="160127377">
          <w:marLeft w:val="0"/>
          <w:marRight w:val="0"/>
          <w:marTop w:val="0"/>
          <w:marBottom w:val="0"/>
          <w:divBdr>
            <w:top w:val="none" w:sz="0" w:space="0" w:color="auto"/>
            <w:left w:val="none" w:sz="0" w:space="0" w:color="auto"/>
            <w:bottom w:val="none" w:sz="0" w:space="0" w:color="auto"/>
            <w:right w:val="none" w:sz="0" w:space="0" w:color="auto"/>
          </w:divBdr>
        </w:div>
        <w:div w:id="160127378">
          <w:marLeft w:val="0"/>
          <w:marRight w:val="0"/>
          <w:marTop w:val="0"/>
          <w:marBottom w:val="0"/>
          <w:divBdr>
            <w:top w:val="none" w:sz="0" w:space="0" w:color="auto"/>
            <w:left w:val="none" w:sz="0" w:space="0" w:color="auto"/>
            <w:bottom w:val="none" w:sz="0" w:space="0" w:color="auto"/>
            <w:right w:val="none" w:sz="0" w:space="0" w:color="auto"/>
          </w:divBdr>
        </w:div>
        <w:div w:id="160127379">
          <w:marLeft w:val="0"/>
          <w:marRight w:val="0"/>
          <w:marTop w:val="0"/>
          <w:marBottom w:val="0"/>
          <w:divBdr>
            <w:top w:val="none" w:sz="0" w:space="0" w:color="auto"/>
            <w:left w:val="none" w:sz="0" w:space="0" w:color="auto"/>
            <w:bottom w:val="none" w:sz="0" w:space="0" w:color="auto"/>
            <w:right w:val="none" w:sz="0" w:space="0" w:color="auto"/>
          </w:divBdr>
        </w:div>
        <w:div w:id="160127381">
          <w:marLeft w:val="0"/>
          <w:marRight w:val="0"/>
          <w:marTop w:val="0"/>
          <w:marBottom w:val="0"/>
          <w:divBdr>
            <w:top w:val="none" w:sz="0" w:space="0" w:color="auto"/>
            <w:left w:val="none" w:sz="0" w:space="0" w:color="auto"/>
            <w:bottom w:val="none" w:sz="0" w:space="0" w:color="auto"/>
            <w:right w:val="none" w:sz="0" w:space="0" w:color="auto"/>
          </w:divBdr>
        </w:div>
        <w:div w:id="160127383">
          <w:marLeft w:val="0"/>
          <w:marRight w:val="0"/>
          <w:marTop w:val="0"/>
          <w:marBottom w:val="0"/>
          <w:divBdr>
            <w:top w:val="none" w:sz="0" w:space="0" w:color="auto"/>
            <w:left w:val="none" w:sz="0" w:space="0" w:color="auto"/>
            <w:bottom w:val="none" w:sz="0" w:space="0" w:color="auto"/>
            <w:right w:val="none" w:sz="0" w:space="0" w:color="auto"/>
          </w:divBdr>
        </w:div>
        <w:div w:id="160127384">
          <w:marLeft w:val="0"/>
          <w:marRight w:val="0"/>
          <w:marTop w:val="0"/>
          <w:marBottom w:val="0"/>
          <w:divBdr>
            <w:top w:val="none" w:sz="0" w:space="0" w:color="auto"/>
            <w:left w:val="none" w:sz="0" w:space="0" w:color="auto"/>
            <w:bottom w:val="none" w:sz="0" w:space="0" w:color="auto"/>
            <w:right w:val="none" w:sz="0" w:space="0" w:color="auto"/>
          </w:divBdr>
        </w:div>
        <w:div w:id="160127387">
          <w:marLeft w:val="0"/>
          <w:marRight w:val="0"/>
          <w:marTop w:val="0"/>
          <w:marBottom w:val="0"/>
          <w:divBdr>
            <w:top w:val="none" w:sz="0" w:space="0" w:color="auto"/>
            <w:left w:val="none" w:sz="0" w:space="0" w:color="auto"/>
            <w:bottom w:val="none" w:sz="0" w:space="0" w:color="auto"/>
            <w:right w:val="none" w:sz="0" w:space="0" w:color="auto"/>
          </w:divBdr>
        </w:div>
        <w:div w:id="160127389">
          <w:marLeft w:val="0"/>
          <w:marRight w:val="0"/>
          <w:marTop w:val="0"/>
          <w:marBottom w:val="0"/>
          <w:divBdr>
            <w:top w:val="none" w:sz="0" w:space="0" w:color="auto"/>
            <w:left w:val="none" w:sz="0" w:space="0" w:color="auto"/>
            <w:bottom w:val="none" w:sz="0" w:space="0" w:color="auto"/>
            <w:right w:val="none" w:sz="0" w:space="0" w:color="auto"/>
          </w:divBdr>
        </w:div>
        <w:div w:id="160127391">
          <w:marLeft w:val="0"/>
          <w:marRight w:val="0"/>
          <w:marTop w:val="0"/>
          <w:marBottom w:val="0"/>
          <w:divBdr>
            <w:top w:val="none" w:sz="0" w:space="0" w:color="auto"/>
            <w:left w:val="none" w:sz="0" w:space="0" w:color="auto"/>
            <w:bottom w:val="none" w:sz="0" w:space="0" w:color="auto"/>
            <w:right w:val="none" w:sz="0" w:space="0" w:color="auto"/>
          </w:divBdr>
        </w:div>
        <w:div w:id="160127392">
          <w:marLeft w:val="0"/>
          <w:marRight w:val="0"/>
          <w:marTop w:val="0"/>
          <w:marBottom w:val="0"/>
          <w:divBdr>
            <w:top w:val="none" w:sz="0" w:space="0" w:color="auto"/>
            <w:left w:val="none" w:sz="0" w:space="0" w:color="auto"/>
            <w:bottom w:val="none" w:sz="0" w:space="0" w:color="auto"/>
            <w:right w:val="none" w:sz="0" w:space="0" w:color="auto"/>
          </w:divBdr>
        </w:div>
        <w:div w:id="160127393">
          <w:marLeft w:val="0"/>
          <w:marRight w:val="0"/>
          <w:marTop w:val="0"/>
          <w:marBottom w:val="0"/>
          <w:divBdr>
            <w:top w:val="none" w:sz="0" w:space="0" w:color="auto"/>
            <w:left w:val="none" w:sz="0" w:space="0" w:color="auto"/>
            <w:bottom w:val="none" w:sz="0" w:space="0" w:color="auto"/>
            <w:right w:val="none" w:sz="0" w:space="0" w:color="auto"/>
          </w:divBdr>
        </w:div>
        <w:div w:id="160127394">
          <w:marLeft w:val="0"/>
          <w:marRight w:val="0"/>
          <w:marTop w:val="0"/>
          <w:marBottom w:val="0"/>
          <w:divBdr>
            <w:top w:val="none" w:sz="0" w:space="0" w:color="auto"/>
            <w:left w:val="none" w:sz="0" w:space="0" w:color="auto"/>
            <w:bottom w:val="none" w:sz="0" w:space="0" w:color="auto"/>
            <w:right w:val="none" w:sz="0" w:space="0" w:color="auto"/>
          </w:divBdr>
        </w:div>
        <w:div w:id="160127395">
          <w:marLeft w:val="0"/>
          <w:marRight w:val="0"/>
          <w:marTop w:val="0"/>
          <w:marBottom w:val="0"/>
          <w:divBdr>
            <w:top w:val="none" w:sz="0" w:space="0" w:color="auto"/>
            <w:left w:val="none" w:sz="0" w:space="0" w:color="auto"/>
            <w:bottom w:val="none" w:sz="0" w:space="0" w:color="auto"/>
            <w:right w:val="none" w:sz="0" w:space="0" w:color="auto"/>
          </w:divBdr>
        </w:div>
        <w:div w:id="160127396">
          <w:marLeft w:val="0"/>
          <w:marRight w:val="0"/>
          <w:marTop w:val="0"/>
          <w:marBottom w:val="0"/>
          <w:divBdr>
            <w:top w:val="none" w:sz="0" w:space="0" w:color="auto"/>
            <w:left w:val="none" w:sz="0" w:space="0" w:color="auto"/>
            <w:bottom w:val="none" w:sz="0" w:space="0" w:color="auto"/>
            <w:right w:val="none" w:sz="0" w:space="0" w:color="auto"/>
          </w:divBdr>
        </w:div>
        <w:div w:id="160127401">
          <w:marLeft w:val="0"/>
          <w:marRight w:val="0"/>
          <w:marTop w:val="0"/>
          <w:marBottom w:val="0"/>
          <w:divBdr>
            <w:top w:val="none" w:sz="0" w:space="0" w:color="auto"/>
            <w:left w:val="none" w:sz="0" w:space="0" w:color="auto"/>
            <w:bottom w:val="none" w:sz="0" w:space="0" w:color="auto"/>
            <w:right w:val="none" w:sz="0" w:space="0" w:color="auto"/>
          </w:divBdr>
        </w:div>
        <w:div w:id="160127403">
          <w:marLeft w:val="0"/>
          <w:marRight w:val="0"/>
          <w:marTop w:val="0"/>
          <w:marBottom w:val="0"/>
          <w:divBdr>
            <w:top w:val="none" w:sz="0" w:space="0" w:color="auto"/>
            <w:left w:val="none" w:sz="0" w:space="0" w:color="auto"/>
            <w:bottom w:val="none" w:sz="0" w:space="0" w:color="auto"/>
            <w:right w:val="none" w:sz="0" w:space="0" w:color="auto"/>
          </w:divBdr>
        </w:div>
        <w:div w:id="160127404">
          <w:marLeft w:val="0"/>
          <w:marRight w:val="0"/>
          <w:marTop w:val="0"/>
          <w:marBottom w:val="0"/>
          <w:divBdr>
            <w:top w:val="none" w:sz="0" w:space="0" w:color="auto"/>
            <w:left w:val="none" w:sz="0" w:space="0" w:color="auto"/>
            <w:bottom w:val="none" w:sz="0" w:space="0" w:color="auto"/>
            <w:right w:val="none" w:sz="0" w:space="0" w:color="auto"/>
          </w:divBdr>
        </w:div>
        <w:div w:id="160127407">
          <w:marLeft w:val="0"/>
          <w:marRight w:val="0"/>
          <w:marTop w:val="0"/>
          <w:marBottom w:val="0"/>
          <w:divBdr>
            <w:top w:val="none" w:sz="0" w:space="0" w:color="auto"/>
            <w:left w:val="none" w:sz="0" w:space="0" w:color="auto"/>
            <w:bottom w:val="none" w:sz="0" w:space="0" w:color="auto"/>
            <w:right w:val="none" w:sz="0" w:space="0" w:color="auto"/>
          </w:divBdr>
        </w:div>
        <w:div w:id="160127411">
          <w:marLeft w:val="0"/>
          <w:marRight w:val="0"/>
          <w:marTop w:val="0"/>
          <w:marBottom w:val="0"/>
          <w:divBdr>
            <w:top w:val="none" w:sz="0" w:space="0" w:color="auto"/>
            <w:left w:val="none" w:sz="0" w:space="0" w:color="auto"/>
            <w:bottom w:val="none" w:sz="0" w:space="0" w:color="auto"/>
            <w:right w:val="none" w:sz="0" w:space="0" w:color="auto"/>
          </w:divBdr>
        </w:div>
        <w:div w:id="160127412">
          <w:marLeft w:val="0"/>
          <w:marRight w:val="0"/>
          <w:marTop w:val="0"/>
          <w:marBottom w:val="0"/>
          <w:divBdr>
            <w:top w:val="none" w:sz="0" w:space="0" w:color="auto"/>
            <w:left w:val="none" w:sz="0" w:space="0" w:color="auto"/>
            <w:bottom w:val="none" w:sz="0" w:space="0" w:color="auto"/>
            <w:right w:val="none" w:sz="0" w:space="0" w:color="auto"/>
          </w:divBdr>
        </w:div>
        <w:div w:id="160127413">
          <w:marLeft w:val="0"/>
          <w:marRight w:val="0"/>
          <w:marTop w:val="0"/>
          <w:marBottom w:val="0"/>
          <w:divBdr>
            <w:top w:val="none" w:sz="0" w:space="0" w:color="auto"/>
            <w:left w:val="none" w:sz="0" w:space="0" w:color="auto"/>
            <w:bottom w:val="none" w:sz="0" w:space="0" w:color="auto"/>
            <w:right w:val="none" w:sz="0" w:space="0" w:color="auto"/>
          </w:divBdr>
        </w:div>
        <w:div w:id="160127417">
          <w:marLeft w:val="0"/>
          <w:marRight w:val="0"/>
          <w:marTop w:val="0"/>
          <w:marBottom w:val="0"/>
          <w:divBdr>
            <w:top w:val="none" w:sz="0" w:space="0" w:color="auto"/>
            <w:left w:val="none" w:sz="0" w:space="0" w:color="auto"/>
            <w:bottom w:val="none" w:sz="0" w:space="0" w:color="auto"/>
            <w:right w:val="none" w:sz="0" w:space="0" w:color="auto"/>
          </w:divBdr>
        </w:div>
        <w:div w:id="160127418">
          <w:marLeft w:val="0"/>
          <w:marRight w:val="0"/>
          <w:marTop w:val="0"/>
          <w:marBottom w:val="0"/>
          <w:divBdr>
            <w:top w:val="none" w:sz="0" w:space="0" w:color="auto"/>
            <w:left w:val="none" w:sz="0" w:space="0" w:color="auto"/>
            <w:bottom w:val="none" w:sz="0" w:space="0" w:color="auto"/>
            <w:right w:val="none" w:sz="0" w:space="0" w:color="auto"/>
          </w:divBdr>
        </w:div>
        <w:div w:id="160127419">
          <w:marLeft w:val="0"/>
          <w:marRight w:val="0"/>
          <w:marTop w:val="0"/>
          <w:marBottom w:val="0"/>
          <w:divBdr>
            <w:top w:val="none" w:sz="0" w:space="0" w:color="auto"/>
            <w:left w:val="none" w:sz="0" w:space="0" w:color="auto"/>
            <w:bottom w:val="none" w:sz="0" w:space="0" w:color="auto"/>
            <w:right w:val="none" w:sz="0" w:space="0" w:color="auto"/>
          </w:divBdr>
        </w:div>
        <w:div w:id="160127420">
          <w:marLeft w:val="0"/>
          <w:marRight w:val="0"/>
          <w:marTop w:val="0"/>
          <w:marBottom w:val="0"/>
          <w:divBdr>
            <w:top w:val="none" w:sz="0" w:space="0" w:color="auto"/>
            <w:left w:val="none" w:sz="0" w:space="0" w:color="auto"/>
            <w:bottom w:val="none" w:sz="0" w:space="0" w:color="auto"/>
            <w:right w:val="none" w:sz="0" w:space="0" w:color="auto"/>
          </w:divBdr>
        </w:div>
        <w:div w:id="160127422">
          <w:marLeft w:val="0"/>
          <w:marRight w:val="0"/>
          <w:marTop w:val="0"/>
          <w:marBottom w:val="0"/>
          <w:divBdr>
            <w:top w:val="none" w:sz="0" w:space="0" w:color="auto"/>
            <w:left w:val="none" w:sz="0" w:space="0" w:color="auto"/>
            <w:bottom w:val="none" w:sz="0" w:space="0" w:color="auto"/>
            <w:right w:val="none" w:sz="0" w:space="0" w:color="auto"/>
          </w:divBdr>
        </w:div>
        <w:div w:id="160127423">
          <w:marLeft w:val="0"/>
          <w:marRight w:val="0"/>
          <w:marTop w:val="0"/>
          <w:marBottom w:val="0"/>
          <w:divBdr>
            <w:top w:val="none" w:sz="0" w:space="0" w:color="auto"/>
            <w:left w:val="none" w:sz="0" w:space="0" w:color="auto"/>
            <w:bottom w:val="none" w:sz="0" w:space="0" w:color="auto"/>
            <w:right w:val="none" w:sz="0" w:space="0" w:color="auto"/>
          </w:divBdr>
        </w:div>
        <w:div w:id="160127425">
          <w:marLeft w:val="0"/>
          <w:marRight w:val="0"/>
          <w:marTop w:val="0"/>
          <w:marBottom w:val="0"/>
          <w:divBdr>
            <w:top w:val="none" w:sz="0" w:space="0" w:color="auto"/>
            <w:left w:val="none" w:sz="0" w:space="0" w:color="auto"/>
            <w:bottom w:val="none" w:sz="0" w:space="0" w:color="auto"/>
            <w:right w:val="none" w:sz="0" w:space="0" w:color="auto"/>
          </w:divBdr>
        </w:div>
        <w:div w:id="160127426">
          <w:marLeft w:val="0"/>
          <w:marRight w:val="0"/>
          <w:marTop w:val="0"/>
          <w:marBottom w:val="0"/>
          <w:divBdr>
            <w:top w:val="none" w:sz="0" w:space="0" w:color="auto"/>
            <w:left w:val="none" w:sz="0" w:space="0" w:color="auto"/>
            <w:bottom w:val="none" w:sz="0" w:space="0" w:color="auto"/>
            <w:right w:val="none" w:sz="0" w:space="0" w:color="auto"/>
          </w:divBdr>
        </w:div>
        <w:div w:id="160127428">
          <w:marLeft w:val="0"/>
          <w:marRight w:val="0"/>
          <w:marTop w:val="0"/>
          <w:marBottom w:val="0"/>
          <w:divBdr>
            <w:top w:val="none" w:sz="0" w:space="0" w:color="auto"/>
            <w:left w:val="none" w:sz="0" w:space="0" w:color="auto"/>
            <w:bottom w:val="none" w:sz="0" w:space="0" w:color="auto"/>
            <w:right w:val="none" w:sz="0" w:space="0" w:color="auto"/>
          </w:divBdr>
        </w:div>
        <w:div w:id="160127430">
          <w:marLeft w:val="0"/>
          <w:marRight w:val="0"/>
          <w:marTop w:val="0"/>
          <w:marBottom w:val="0"/>
          <w:divBdr>
            <w:top w:val="none" w:sz="0" w:space="0" w:color="auto"/>
            <w:left w:val="none" w:sz="0" w:space="0" w:color="auto"/>
            <w:bottom w:val="none" w:sz="0" w:space="0" w:color="auto"/>
            <w:right w:val="none" w:sz="0" w:space="0" w:color="auto"/>
          </w:divBdr>
        </w:div>
        <w:div w:id="160127432">
          <w:marLeft w:val="0"/>
          <w:marRight w:val="0"/>
          <w:marTop w:val="0"/>
          <w:marBottom w:val="0"/>
          <w:divBdr>
            <w:top w:val="none" w:sz="0" w:space="0" w:color="auto"/>
            <w:left w:val="none" w:sz="0" w:space="0" w:color="auto"/>
            <w:bottom w:val="none" w:sz="0" w:space="0" w:color="auto"/>
            <w:right w:val="none" w:sz="0" w:space="0" w:color="auto"/>
          </w:divBdr>
        </w:div>
        <w:div w:id="160127433">
          <w:marLeft w:val="0"/>
          <w:marRight w:val="0"/>
          <w:marTop w:val="0"/>
          <w:marBottom w:val="0"/>
          <w:divBdr>
            <w:top w:val="none" w:sz="0" w:space="0" w:color="auto"/>
            <w:left w:val="none" w:sz="0" w:space="0" w:color="auto"/>
            <w:bottom w:val="none" w:sz="0" w:space="0" w:color="auto"/>
            <w:right w:val="none" w:sz="0" w:space="0" w:color="auto"/>
          </w:divBdr>
        </w:div>
        <w:div w:id="160127434">
          <w:marLeft w:val="0"/>
          <w:marRight w:val="0"/>
          <w:marTop w:val="0"/>
          <w:marBottom w:val="0"/>
          <w:divBdr>
            <w:top w:val="none" w:sz="0" w:space="0" w:color="auto"/>
            <w:left w:val="none" w:sz="0" w:space="0" w:color="auto"/>
            <w:bottom w:val="none" w:sz="0" w:space="0" w:color="auto"/>
            <w:right w:val="none" w:sz="0" w:space="0" w:color="auto"/>
          </w:divBdr>
        </w:div>
        <w:div w:id="160127435">
          <w:marLeft w:val="0"/>
          <w:marRight w:val="0"/>
          <w:marTop w:val="0"/>
          <w:marBottom w:val="0"/>
          <w:divBdr>
            <w:top w:val="none" w:sz="0" w:space="0" w:color="auto"/>
            <w:left w:val="none" w:sz="0" w:space="0" w:color="auto"/>
            <w:bottom w:val="none" w:sz="0" w:space="0" w:color="auto"/>
            <w:right w:val="none" w:sz="0" w:space="0" w:color="auto"/>
          </w:divBdr>
        </w:div>
        <w:div w:id="160127436">
          <w:marLeft w:val="0"/>
          <w:marRight w:val="0"/>
          <w:marTop w:val="0"/>
          <w:marBottom w:val="0"/>
          <w:divBdr>
            <w:top w:val="none" w:sz="0" w:space="0" w:color="auto"/>
            <w:left w:val="none" w:sz="0" w:space="0" w:color="auto"/>
            <w:bottom w:val="none" w:sz="0" w:space="0" w:color="auto"/>
            <w:right w:val="none" w:sz="0" w:space="0" w:color="auto"/>
          </w:divBdr>
        </w:div>
        <w:div w:id="160127438">
          <w:marLeft w:val="0"/>
          <w:marRight w:val="0"/>
          <w:marTop w:val="0"/>
          <w:marBottom w:val="0"/>
          <w:divBdr>
            <w:top w:val="none" w:sz="0" w:space="0" w:color="auto"/>
            <w:left w:val="none" w:sz="0" w:space="0" w:color="auto"/>
            <w:bottom w:val="none" w:sz="0" w:space="0" w:color="auto"/>
            <w:right w:val="none" w:sz="0" w:space="0" w:color="auto"/>
          </w:divBdr>
        </w:div>
        <w:div w:id="160127441">
          <w:marLeft w:val="0"/>
          <w:marRight w:val="0"/>
          <w:marTop w:val="0"/>
          <w:marBottom w:val="0"/>
          <w:divBdr>
            <w:top w:val="none" w:sz="0" w:space="0" w:color="auto"/>
            <w:left w:val="none" w:sz="0" w:space="0" w:color="auto"/>
            <w:bottom w:val="none" w:sz="0" w:space="0" w:color="auto"/>
            <w:right w:val="none" w:sz="0" w:space="0" w:color="auto"/>
          </w:divBdr>
        </w:div>
        <w:div w:id="160127444">
          <w:marLeft w:val="0"/>
          <w:marRight w:val="0"/>
          <w:marTop w:val="0"/>
          <w:marBottom w:val="0"/>
          <w:divBdr>
            <w:top w:val="none" w:sz="0" w:space="0" w:color="auto"/>
            <w:left w:val="none" w:sz="0" w:space="0" w:color="auto"/>
            <w:bottom w:val="none" w:sz="0" w:space="0" w:color="auto"/>
            <w:right w:val="none" w:sz="0" w:space="0" w:color="auto"/>
          </w:divBdr>
        </w:div>
        <w:div w:id="160127446">
          <w:marLeft w:val="0"/>
          <w:marRight w:val="0"/>
          <w:marTop w:val="0"/>
          <w:marBottom w:val="0"/>
          <w:divBdr>
            <w:top w:val="none" w:sz="0" w:space="0" w:color="auto"/>
            <w:left w:val="none" w:sz="0" w:space="0" w:color="auto"/>
            <w:bottom w:val="none" w:sz="0" w:space="0" w:color="auto"/>
            <w:right w:val="none" w:sz="0" w:space="0" w:color="auto"/>
          </w:divBdr>
        </w:div>
        <w:div w:id="160127450">
          <w:marLeft w:val="0"/>
          <w:marRight w:val="0"/>
          <w:marTop w:val="0"/>
          <w:marBottom w:val="0"/>
          <w:divBdr>
            <w:top w:val="none" w:sz="0" w:space="0" w:color="auto"/>
            <w:left w:val="none" w:sz="0" w:space="0" w:color="auto"/>
            <w:bottom w:val="none" w:sz="0" w:space="0" w:color="auto"/>
            <w:right w:val="none" w:sz="0" w:space="0" w:color="auto"/>
          </w:divBdr>
        </w:div>
        <w:div w:id="160127451">
          <w:marLeft w:val="0"/>
          <w:marRight w:val="0"/>
          <w:marTop w:val="0"/>
          <w:marBottom w:val="0"/>
          <w:divBdr>
            <w:top w:val="none" w:sz="0" w:space="0" w:color="auto"/>
            <w:left w:val="none" w:sz="0" w:space="0" w:color="auto"/>
            <w:bottom w:val="none" w:sz="0" w:space="0" w:color="auto"/>
            <w:right w:val="none" w:sz="0" w:space="0" w:color="auto"/>
          </w:divBdr>
        </w:div>
        <w:div w:id="160127454">
          <w:marLeft w:val="0"/>
          <w:marRight w:val="0"/>
          <w:marTop w:val="0"/>
          <w:marBottom w:val="0"/>
          <w:divBdr>
            <w:top w:val="none" w:sz="0" w:space="0" w:color="auto"/>
            <w:left w:val="none" w:sz="0" w:space="0" w:color="auto"/>
            <w:bottom w:val="none" w:sz="0" w:space="0" w:color="auto"/>
            <w:right w:val="none" w:sz="0" w:space="0" w:color="auto"/>
          </w:divBdr>
        </w:div>
        <w:div w:id="160127456">
          <w:marLeft w:val="0"/>
          <w:marRight w:val="0"/>
          <w:marTop w:val="0"/>
          <w:marBottom w:val="0"/>
          <w:divBdr>
            <w:top w:val="none" w:sz="0" w:space="0" w:color="auto"/>
            <w:left w:val="none" w:sz="0" w:space="0" w:color="auto"/>
            <w:bottom w:val="none" w:sz="0" w:space="0" w:color="auto"/>
            <w:right w:val="none" w:sz="0" w:space="0" w:color="auto"/>
          </w:divBdr>
        </w:div>
        <w:div w:id="160127457">
          <w:marLeft w:val="0"/>
          <w:marRight w:val="0"/>
          <w:marTop w:val="0"/>
          <w:marBottom w:val="0"/>
          <w:divBdr>
            <w:top w:val="none" w:sz="0" w:space="0" w:color="auto"/>
            <w:left w:val="none" w:sz="0" w:space="0" w:color="auto"/>
            <w:bottom w:val="none" w:sz="0" w:space="0" w:color="auto"/>
            <w:right w:val="none" w:sz="0" w:space="0" w:color="auto"/>
          </w:divBdr>
        </w:div>
        <w:div w:id="160127458">
          <w:marLeft w:val="0"/>
          <w:marRight w:val="0"/>
          <w:marTop w:val="0"/>
          <w:marBottom w:val="0"/>
          <w:divBdr>
            <w:top w:val="none" w:sz="0" w:space="0" w:color="auto"/>
            <w:left w:val="none" w:sz="0" w:space="0" w:color="auto"/>
            <w:bottom w:val="none" w:sz="0" w:space="0" w:color="auto"/>
            <w:right w:val="none" w:sz="0" w:space="0" w:color="auto"/>
          </w:divBdr>
        </w:div>
        <w:div w:id="160127459">
          <w:marLeft w:val="0"/>
          <w:marRight w:val="0"/>
          <w:marTop w:val="0"/>
          <w:marBottom w:val="0"/>
          <w:divBdr>
            <w:top w:val="none" w:sz="0" w:space="0" w:color="auto"/>
            <w:left w:val="none" w:sz="0" w:space="0" w:color="auto"/>
            <w:bottom w:val="none" w:sz="0" w:space="0" w:color="auto"/>
            <w:right w:val="none" w:sz="0" w:space="0" w:color="auto"/>
          </w:divBdr>
        </w:div>
        <w:div w:id="160127463">
          <w:marLeft w:val="0"/>
          <w:marRight w:val="0"/>
          <w:marTop w:val="0"/>
          <w:marBottom w:val="0"/>
          <w:divBdr>
            <w:top w:val="none" w:sz="0" w:space="0" w:color="auto"/>
            <w:left w:val="none" w:sz="0" w:space="0" w:color="auto"/>
            <w:bottom w:val="none" w:sz="0" w:space="0" w:color="auto"/>
            <w:right w:val="none" w:sz="0" w:space="0" w:color="auto"/>
          </w:divBdr>
        </w:div>
        <w:div w:id="160127464">
          <w:marLeft w:val="0"/>
          <w:marRight w:val="0"/>
          <w:marTop w:val="0"/>
          <w:marBottom w:val="0"/>
          <w:divBdr>
            <w:top w:val="none" w:sz="0" w:space="0" w:color="auto"/>
            <w:left w:val="none" w:sz="0" w:space="0" w:color="auto"/>
            <w:bottom w:val="none" w:sz="0" w:space="0" w:color="auto"/>
            <w:right w:val="none" w:sz="0" w:space="0" w:color="auto"/>
          </w:divBdr>
        </w:div>
        <w:div w:id="160127465">
          <w:marLeft w:val="0"/>
          <w:marRight w:val="0"/>
          <w:marTop w:val="0"/>
          <w:marBottom w:val="0"/>
          <w:divBdr>
            <w:top w:val="none" w:sz="0" w:space="0" w:color="auto"/>
            <w:left w:val="none" w:sz="0" w:space="0" w:color="auto"/>
            <w:bottom w:val="none" w:sz="0" w:space="0" w:color="auto"/>
            <w:right w:val="none" w:sz="0" w:space="0" w:color="auto"/>
          </w:divBdr>
        </w:div>
        <w:div w:id="160127466">
          <w:marLeft w:val="0"/>
          <w:marRight w:val="0"/>
          <w:marTop w:val="0"/>
          <w:marBottom w:val="0"/>
          <w:divBdr>
            <w:top w:val="none" w:sz="0" w:space="0" w:color="auto"/>
            <w:left w:val="none" w:sz="0" w:space="0" w:color="auto"/>
            <w:bottom w:val="none" w:sz="0" w:space="0" w:color="auto"/>
            <w:right w:val="none" w:sz="0" w:space="0" w:color="auto"/>
          </w:divBdr>
        </w:div>
        <w:div w:id="160127468">
          <w:marLeft w:val="0"/>
          <w:marRight w:val="0"/>
          <w:marTop w:val="0"/>
          <w:marBottom w:val="0"/>
          <w:divBdr>
            <w:top w:val="none" w:sz="0" w:space="0" w:color="auto"/>
            <w:left w:val="none" w:sz="0" w:space="0" w:color="auto"/>
            <w:bottom w:val="none" w:sz="0" w:space="0" w:color="auto"/>
            <w:right w:val="none" w:sz="0" w:space="0" w:color="auto"/>
          </w:divBdr>
        </w:div>
        <w:div w:id="160127474">
          <w:marLeft w:val="0"/>
          <w:marRight w:val="0"/>
          <w:marTop w:val="0"/>
          <w:marBottom w:val="0"/>
          <w:divBdr>
            <w:top w:val="none" w:sz="0" w:space="0" w:color="auto"/>
            <w:left w:val="none" w:sz="0" w:space="0" w:color="auto"/>
            <w:bottom w:val="none" w:sz="0" w:space="0" w:color="auto"/>
            <w:right w:val="none" w:sz="0" w:space="0" w:color="auto"/>
          </w:divBdr>
        </w:div>
        <w:div w:id="160127475">
          <w:marLeft w:val="0"/>
          <w:marRight w:val="0"/>
          <w:marTop w:val="0"/>
          <w:marBottom w:val="0"/>
          <w:divBdr>
            <w:top w:val="none" w:sz="0" w:space="0" w:color="auto"/>
            <w:left w:val="none" w:sz="0" w:space="0" w:color="auto"/>
            <w:bottom w:val="none" w:sz="0" w:space="0" w:color="auto"/>
            <w:right w:val="none" w:sz="0" w:space="0" w:color="auto"/>
          </w:divBdr>
        </w:div>
        <w:div w:id="160127478">
          <w:marLeft w:val="0"/>
          <w:marRight w:val="0"/>
          <w:marTop w:val="0"/>
          <w:marBottom w:val="0"/>
          <w:divBdr>
            <w:top w:val="none" w:sz="0" w:space="0" w:color="auto"/>
            <w:left w:val="none" w:sz="0" w:space="0" w:color="auto"/>
            <w:bottom w:val="none" w:sz="0" w:space="0" w:color="auto"/>
            <w:right w:val="none" w:sz="0" w:space="0" w:color="auto"/>
          </w:divBdr>
        </w:div>
        <w:div w:id="160127479">
          <w:marLeft w:val="0"/>
          <w:marRight w:val="0"/>
          <w:marTop w:val="0"/>
          <w:marBottom w:val="0"/>
          <w:divBdr>
            <w:top w:val="none" w:sz="0" w:space="0" w:color="auto"/>
            <w:left w:val="none" w:sz="0" w:space="0" w:color="auto"/>
            <w:bottom w:val="none" w:sz="0" w:space="0" w:color="auto"/>
            <w:right w:val="none" w:sz="0" w:space="0" w:color="auto"/>
          </w:divBdr>
        </w:div>
        <w:div w:id="160127480">
          <w:marLeft w:val="0"/>
          <w:marRight w:val="0"/>
          <w:marTop w:val="0"/>
          <w:marBottom w:val="0"/>
          <w:divBdr>
            <w:top w:val="none" w:sz="0" w:space="0" w:color="auto"/>
            <w:left w:val="none" w:sz="0" w:space="0" w:color="auto"/>
            <w:bottom w:val="none" w:sz="0" w:space="0" w:color="auto"/>
            <w:right w:val="none" w:sz="0" w:space="0" w:color="auto"/>
          </w:divBdr>
        </w:div>
        <w:div w:id="160127481">
          <w:marLeft w:val="0"/>
          <w:marRight w:val="0"/>
          <w:marTop w:val="0"/>
          <w:marBottom w:val="0"/>
          <w:divBdr>
            <w:top w:val="none" w:sz="0" w:space="0" w:color="auto"/>
            <w:left w:val="none" w:sz="0" w:space="0" w:color="auto"/>
            <w:bottom w:val="none" w:sz="0" w:space="0" w:color="auto"/>
            <w:right w:val="none" w:sz="0" w:space="0" w:color="auto"/>
          </w:divBdr>
        </w:div>
        <w:div w:id="160127482">
          <w:marLeft w:val="0"/>
          <w:marRight w:val="0"/>
          <w:marTop w:val="0"/>
          <w:marBottom w:val="0"/>
          <w:divBdr>
            <w:top w:val="none" w:sz="0" w:space="0" w:color="auto"/>
            <w:left w:val="none" w:sz="0" w:space="0" w:color="auto"/>
            <w:bottom w:val="none" w:sz="0" w:space="0" w:color="auto"/>
            <w:right w:val="none" w:sz="0" w:space="0" w:color="auto"/>
          </w:divBdr>
        </w:div>
        <w:div w:id="160127483">
          <w:marLeft w:val="0"/>
          <w:marRight w:val="0"/>
          <w:marTop w:val="0"/>
          <w:marBottom w:val="0"/>
          <w:divBdr>
            <w:top w:val="none" w:sz="0" w:space="0" w:color="auto"/>
            <w:left w:val="none" w:sz="0" w:space="0" w:color="auto"/>
            <w:bottom w:val="none" w:sz="0" w:space="0" w:color="auto"/>
            <w:right w:val="none" w:sz="0" w:space="0" w:color="auto"/>
          </w:divBdr>
        </w:div>
        <w:div w:id="160127492">
          <w:marLeft w:val="0"/>
          <w:marRight w:val="0"/>
          <w:marTop w:val="0"/>
          <w:marBottom w:val="0"/>
          <w:divBdr>
            <w:top w:val="none" w:sz="0" w:space="0" w:color="auto"/>
            <w:left w:val="none" w:sz="0" w:space="0" w:color="auto"/>
            <w:bottom w:val="none" w:sz="0" w:space="0" w:color="auto"/>
            <w:right w:val="none" w:sz="0" w:space="0" w:color="auto"/>
          </w:divBdr>
        </w:div>
        <w:div w:id="160127494">
          <w:marLeft w:val="0"/>
          <w:marRight w:val="0"/>
          <w:marTop w:val="0"/>
          <w:marBottom w:val="0"/>
          <w:divBdr>
            <w:top w:val="none" w:sz="0" w:space="0" w:color="auto"/>
            <w:left w:val="none" w:sz="0" w:space="0" w:color="auto"/>
            <w:bottom w:val="none" w:sz="0" w:space="0" w:color="auto"/>
            <w:right w:val="none" w:sz="0" w:space="0" w:color="auto"/>
          </w:divBdr>
        </w:div>
        <w:div w:id="160127504">
          <w:marLeft w:val="0"/>
          <w:marRight w:val="0"/>
          <w:marTop w:val="0"/>
          <w:marBottom w:val="0"/>
          <w:divBdr>
            <w:top w:val="none" w:sz="0" w:space="0" w:color="auto"/>
            <w:left w:val="none" w:sz="0" w:space="0" w:color="auto"/>
            <w:bottom w:val="none" w:sz="0" w:space="0" w:color="auto"/>
            <w:right w:val="none" w:sz="0" w:space="0" w:color="auto"/>
          </w:divBdr>
        </w:div>
        <w:div w:id="160127505">
          <w:marLeft w:val="0"/>
          <w:marRight w:val="0"/>
          <w:marTop w:val="0"/>
          <w:marBottom w:val="0"/>
          <w:divBdr>
            <w:top w:val="none" w:sz="0" w:space="0" w:color="auto"/>
            <w:left w:val="none" w:sz="0" w:space="0" w:color="auto"/>
            <w:bottom w:val="none" w:sz="0" w:space="0" w:color="auto"/>
            <w:right w:val="none" w:sz="0" w:space="0" w:color="auto"/>
          </w:divBdr>
        </w:div>
        <w:div w:id="160127508">
          <w:marLeft w:val="0"/>
          <w:marRight w:val="0"/>
          <w:marTop w:val="0"/>
          <w:marBottom w:val="0"/>
          <w:divBdr>
            <w:top w:val="none" w:sz="0" w:space="0" w:color="auto"/>
            <w:left w:val="none" w:sz="0" w:space="0" w:color="auto"/>
            <w:bottom w:val="none" w:sz="0" w:space="0" w:color="auto"/>
            <w:right w:val="none" w:sz="0" w:space="0" w:color="auto"/>
          </w:divBdr>
        </w:div>
        <w:div w:id="160127516">
          <w:marLeft w:val="0"/>
          <w:marRight w:val="0"/>
          <w:marTop w:val="0"/>
          <w:marBottom w:val="0"/>
          <w:divBdr>
            <w:top w:val="none" w:sz="0" w:space="0" w:color="auto"/>
            <w:left w:val="none" w:sz="0" w:space="0" w:color="auto"/>
            <w:bottom w:val="none" w:sz="0" w:space="0" w:color="auto"/>
            <w:right w:val="none" w:sz="0" w:space="0" w:color="auto"/>
          </w:divBdr>
        </w:div>
      </w:divsChild>
    </w:div>
    <w:div w:id="160127460">
      <w:marLeft w:val="0"/>
      <w:marRight w:val="0"/>
      <w:marTop w:val="0"/>
      <w:marBottom w:val="0"/>
      <w:divBdr>
        <w:top w:val="none" w:sz="0" w:space="0" w:color="auto"/>
        <w:left w:val="none" w:sz="0" w:space="0" w:color="auto"/>
        <w:bottom w:val="none" w:sz="0" w:space="0" w:color="auto"/>
        <w:right w:val="none" w:sz="0" w:space="0" w:color="auto"/>
      </w:divBdr>
    </w:div>
    <w:div w:id="160127469">
      <w:marLeft w:val="0"/>
      <w:marRight w:val="0"/>
      <w:marTop w:val="0"/>
      <w:marBottom w:val="0"/>
      <w:divBdr>
        <w:top w:val="none" w:sz="0" w:space="0" w:color="auto"/>
        <w:left w:val="none" w:sz="0" w:space="0" w:color="auto"/>
        <w:bottom w:val="none" w:sz="0" w:space="0" w:color="auto"/>
        <w:right w:val="none" w:sz="0" w:space="0" w:color="auto"/>
      </w:divBdr>
    </w:div>
    <w:div w:id="160127489">
      <w:marLeft w:val="0"/>
      <w:marRight w:val="0"/>
      <w:marTop w:val="0"/>
      <w:marBottom w:val="0"/>
      <w:divBdr>
        <w:top w:val="none" w:sz="0" w:space="0" w:color="auto"/>
        <w:left w:val="none" w:sz="0" w:space="0" w:color="auto"/>
        <w:bottom w:val="none" w:sz="0" w:space="0" w:color="auto"/>
        <w:right w:val="none" w:sz="0" w:space="0" w:color="auto"/>
      </w:divBdr>
    </w:div>
    <w:div w:id="160127490">
      <w:marLeft w:val="0"/>
      <w:marRight w:val="0"/>
      <w:marTop w:val="0"/>
      <w:marBottom w:val="0"/>
      <w:divBdr>
        <w:top w:val="none" w:sz="0" w:space="0" w:color="auto"/>
        <w:left w:val="none" w:sz="0" w:space="0" w:color="auto"/>
        <w:bottom w:val="none" w:sz="0" w:space="0" w:color="auto"/>
        <w:right w:val="none" w:sz="0" w:space="0" w:color="auto"/>
      </w:divBdr>
    </w:div>
    <w:div w:id="1601275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5688</Words>
  <Characters>32423</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Home</Company>
  <LinksUpToDate>false</LinksUpToDate>
  <CharactersWithSpaces>38035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Yemchenko V V</dc:creator>
  <cp:keywords/>
  <dc:description/>
  <cp:lastModifiedBy>admin</cp:lastModifiedBy>
  <cp:revision>2</cp:revision>
  <dcterms:created xsi:type="dcterms:W3CDTF">2014-03-23T23:00:00Z</dcterms:created>
  <dcterms:modified xsi:type="dcterms:W3CDTF">2014-03-23T23:00:00Z</dcterms:modified>
</cp:coreProperties>
</file>