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7A0" w:rsidRPr="00681006" w:rsidRDefault="00681006" w:rsidP="0068100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681006" w:rsidRPr="00681006" w:rsidRDefault="00681006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681006" w:rsidRPr="00681006" w:rsidRDefault="00B717A0" w:rsidP="00681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1. Общая характеристика рынка ценных бумаг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2. Структура рынка ценных бумаг в России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Список использованной литературы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681006" w:rsidP="0068100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681006">
        <w:rPr>
          <w:rFonts w:ascii="Times New Roman" w:hAnsi="Times New Roman"/>
          <w:b/>
          <w:color w:val="000000"/>
          <w:sz w:val="28"/>
          <w:szCs w:val="28"/>
        </w:rPr>
        <w:lastRenderedPageBreak/>
        <w:t>Введение</w:t>
      </w:r>
    </w:p>
    <w:p w:rsidR="00681006" w:rsidRDefault="00681006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На развитых рынках ценных бумаг принято стараться прогнозировать развитие и пытаться воздействовать на него, стремясь на уровне макроэкономики, в отраслях и компаниях создавать стратегии, которые обеспечивали бы конкурентоспособность рынка, его выживание и развитие. В начале 70-х годов на рынке акций США возникли серьезные проблемы, связанные с быстрым ростом объемов и дроблением рынка, снижением его прозрачности, высокими издержками на совершение сделок. Комиссия по ценным бумагам и фондовым биржам США предложила в своем докладе “Statement on the Future Structure of the Securities Markets” (1972)</w:t>
      </w:r>
      <w:r w:rsidR="00681006">
        <w:rPr>
          <w:rFonts w:ascii="Times New Roman" w:hAnsi="Times New Roman"/>
          <w:color w:val="000000"/>
          <w:sz w:val="28"/>
          <w:szCs w:val="28"/>
        </w:rPr>
        <w:t>,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 посвященном будущей структуре рынков ценных бумаг, провести необходимые изменения — создание системы национального рынка (National Market System)</w:t>
      </w:r>
      <w:r w:rsidR="00681006">
        <w:rPr>
          <w:rFonts w:ascii="Times New Roman" w:hAnsi="Times New Roman"/>
          <w:color w:val="000000"/>
          <w:sz w:val="28"/>
          <w:szCs w:val="28"/>
        </w:rPr>
        <w:t>.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 Эта система и была создана. В 90-х годах быстрые технологические изменения, стремление сохранить первенство рынка акций США привели к появлению нового доклада Комиссии по ценным бумагам и фондовым биржам, целью которого было оценить тенденции развития рынка до 2000 г., а также определить, какой должна быть политика государства в помощь рынку. В итоге вся деятельность Комиссии в 90-х годах была заполнена инициативами, поддерживающими открытый и инновационный характер фондового рынка США. Кризисы 1987 и 1997 гг. привели к оперативному расследованию причин и немедленным попыткам государства и профессионального сообщества предупредить новые падения рынка ценных бумаг.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Российские рынки акций и государственных ценных бумаг стали детонатором финансового кризиса 1997–1998 гг. К сожалению, кризис в России не привел к результативным попыткам государства и большей части профессионального сообщества понять его уроки, оценить фундаментальные причины, создать политику, которая обеспечила бы позитивное развитие финансового сектора, прежде всего рынка ценных бумаг.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Целью контрольной работы является изучение структуры и регулирования российского рынка ценных бумаг.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Задачи контрольной работы: рассмотреть структуру и современное состояние рынка ценных бумаг в РФ.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681006" w:rsidP="006810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681006">
        <w:rPr>
          <w:rFonts w:ascii="Times New Roman" w:hAnsi="Times New Roman"/>
          <w:b/>
          <w:color w:val="000000"/>
          <w:sz w:val="28"/>
          <w:szCs w:val="28"/>
        </w:rPr>
        <w:t>Общая характеристика рынка ценных бумаг</w:t>
      </w:r>
    </w:p>
    <w:p w:rsidR="00681006" w:rsidRDefault="00681006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Образование фиктивного капитала связано с появлением ссудного капитала. Фиктивный капитал возникает как следствие приобретения ценных бумаг, дающих право на получение определенного дохода (процента на капитал). Первоначальной формой фиктивного капитала в период домонополистического капитализма и “свободной конкуренции” служили облигации государственных займов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[2, </w:t>
      </w:r>
      <w:r w:rsidRPr="0068100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81006">
        <w:rPr>
          <w:rFonts w:ascii="Times New Roman" w:hAnsi="Times New Roman"/>
          <w:color w:val="000000"/>
          <w:sz w:val="28"/>
          <w:szCs w:val="28"/>
        </w:rPr>
        <w:t>.124]</w:t>
      </w:r>
      <w:r w:rsidR="00681006">
        <w:rPr>
          <w:rFonts w:ascii="Times New Roman" w:hAnsi="Times New Roman"/>
          <w:color w:val="000000"/>
          <w:sz w:val="28"/>
          <w:szCs w:val="28"/>
        </w:rPr>
        <w:t>.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Трансформация капитализма свободной конкуренции (laess faire) в монополистический, с образованием и ростом акционерных обществ, способствовала появлению нового вида ценных бумаг — акций. По мере развития капитализма акционерные общества стали превращаться в сложные монополистические объединения (концерны, тресты, картели, консорциумы). Их развитие в условиях острой конкурентной борьбы и развития научно-технической революции обусловило привлечение не только акционерного, но и облигационного капитала. Это обусловило выпуск и размещение частными компаниями и корпорациями, помимо акций, еще и облигаций, то есть осуществление облигационных займов. Структура фиктивного капитала складывается из трех основных элементов: акций, облигаций частного сектора и государственных облигаций. С развитием капитализма и превращением его в государственно-монополистический капитализм частный сектор и государство все больше привлекает капитал путем эмиссии акций и облигаций, увеличивая таким образом фиктивный капитал, который существенно превышает действительный, реальный капитал, необходимый для капиталистического воспроизводства. В условиях спекулятивных сделок фиктивный капитал, представляющий ценные бумаги, в современном рыночном хозяйстве приобретает самостоятельную динамику, не зависящую от реального капитала.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В то же время фиктивный капитал отражает объективные процессы дробления, перераспределения, объединения действующих реальных производительных капиталов. Если в монополистической стадии капитализма фиктивный капитал концентрировался на фондовой бирже, то в условиях государственно-монополистического капитализма значительная его доля сосредоточивалась в банках и других кредитно-финансовых учреждениях. В самой структуре фиктивного капитала резко вырос удельный вес государственных облигаций, что обусловлено, во-первых, кризисом государственных финансов и, во-вторых, усилением вмешательства государства в экономику. В странах Западной Европы, Японии и ряде развивающихся стран государственные займы в определенной степени отражают также развитие государственной собственности. Разбухание фиктивного капитала за счет выпуска государственных займов для покрытия дефицитов бюджета служит источником развертывания инфляционных процессов, обесценения денег, а значит, и валютных потрясений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[2, </w:t>
      </w:r>
      <w:r w:rsidRPr="0068100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.125].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Самостоятельное движение фиктивного капитала на рынке приводит к резкому отрыву рыночной стоимости от балансовой, увеличивая разрыв между реальной стоимостью материальных ценностей и их относительно фиксированной стоимостью, представленной в ценных бумагах.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Дальнейшее увеличение объема фиктивного капитала усиливает фетишизацию экономических отношений в современном рыночном хозяйстве капитализма. Источники получения доходов по различным элементам фиктивного капитала полностью замаскированы. В условиях часто меняющейся конъюнктуры фиктивный капитал — один из самых неустойчивых показателей рыночной экономики. Особенно чувствителен фиктивный капитал к колебаниям и изменениям на рынке ссудных капиталов, движению и накоплению денежного капитала, а также потрясениям в кредитно-финансовой сфере. Особо негативное воздействие на понижательные тенденции фиктивного капитала оказывает рост банковских ставок, спекулятивные операции с ценными бумагами и валютой. Несоответствие, диспропорции в динамике фиктивного и реального производительного капитала сопровождаются обесценением фиктивного капитала, приводя к падению курсов ценных бумаг и биржевым крахам (финансовые потрясения 1970</w:t>
      </w:r>
      <w:r w:rsidR="00681006">
        <w:rPr>
          <w:rFonts w:ascii="Times New Roman" w:hAnsi="Times New Roman"/>
          <w:color w:val="000000"/>
          <w:sz w:val="28"/>
          <w:szCs w:val="28"/>
        </w:rPr>
        <w:t>,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 1987 и 1997 гг., а также 2000-2001 гг.).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Рынок ценных бумаг отражает все колебания фиктивного капитала, огромное количество спекулятивных операций с ценными бумагами, особенно с дериватами.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В настоящее время в ведущих западных странах с развитой рыночной экономикой существуют, действуют и развиваются три рынка ценных бумаг: внебиржевой (первичный); вторичный (фондовая биржа); уличный рынок, или рынок “через прилавок” (cover the connter). Все они представляют собой весьма необходимый и важный элемент рыночного хозяйствования, особенно его кредитно-финансовой надстройки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[3, </w:t>
      </w:r>
      <w:r w:rsidRPr="0068100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.224].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Указанные рынки, составляющие структуру рынка ценных бумаг, противостоя друг другу, взаимно дополняют друг друга. Данное противоречие обусловлено тем, что выполняя общую функцию по торговле и обращению ценных бумаг и мобилизации капитала, они руководствуются специфическими методами отбора и реализации ценных бумаг. Внебиржевой первичный рынок охватывает лишь новые выпуски ценных бумаг и главным образом размещение облигаций торгово-промышленных корпораций. Последние через инвестиционные и коммерческие банки, банкирские дома вступают в непосредственный контакт с кредитно-финансовыми институтами, которые и приобретают эти ценные бумаги. Наоборот, на бирже котируются старые выпуски ценных бумаг и главным образом акции торгово-промышленных корпораций. Если через внебиржевой оборот осуществляется в основном финансирование воспроизводственного процесса, то на бирже с помощью скупки акций происходит захват контроля над корпорациями и фирмами, идет формирование и перераспределение контроля между различными финансовыми группами. Через биржу также осуществляется определенная часть финансирования (в основном через мелких и средних вкладчиков).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Особенность биржи состоит в том, что здесь доминирует индивидуальный вкладчик, хотя идет процесс монополизации ее “итерации со стороны кредитно-финансовых институтов. На внебиржевом рынке действует коллективный вкладчик в лице крупных кредитно-финансовых институтов с долгосрочными резервами денежных средств (страховые компании, инвестиционные компании, частные пенсионные фонды, коммерческие банки) На Протяжении всего послевоенного периода как в практическом так теоретическом плане довольно остро стоял вопрос о соотношении внебиржевого и биржевого оборота.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Особое место в структуре рынка ценных бумаг занимает уличный рынок, возникший в 60-70-х гг. прошлого века в ряде западных стран (США, Японии) и первоначально рассчитанный на акции вновь создаваемых небольших компаний, которым первичный биржевой рынок был недоступен.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В 60-х гг. XX в. обнаружилась тенденция к росту значимости внебиржевого первичного оборота, так как широкий процесс обновления основного капитала обусловил огромные потребности в выпуске новых эмиссий ценных бумаг. Однако биржа не сумела восстановить в полной мере свой механизм, разрушенный в период Второй мировой войны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[3, </w:t>
      </w:r>
      <w:r w:rsidRPr="0068100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.225].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Начавшиеся процессы слияний, поглощений, а также общие масштабы централизации капитала в развитых странах, обусловленные потребностями производства, научно-технической революции и просто борьбой различных монополистических группировок, происходивших после так называемого восстановительного периода, существенно оживили деятельность фондовой биржи. К ее операциям стали широко привлекаться средние и мелкие индивидуальные вкладчики. При этом впечатление о снижении роли биржи стало складываться из-за активного проникновения в ее операции крупных кредитно-финансовых институтов. Однако финансово-промышленные группы использовали подконтрольные ей банки и другие кредитно-финансовые институты для расширения своих операций на бирже в целях реорганизации производственной структуры хозяйства.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Внебиржевой оборот, как и биржа, обладает собственными методами торговли ценными бумагами, в основном облигациями. В 90-х гг. широкое распространение получили новые методы размещения корпоративных ценных бумаг, так называемый андеррайтинг, — прямое размещение (direct placement), публичное предложение, конкурентные торги (competitive bidding), — позволяющие осуществлять более тесные связи между эмитентом ценных бумаг и их покупателем (инвестором). Организующим посредником здесь выступают инвестиционные и коммерческие банки, банкирские дома, брокерские фирмы. Новые методы внебиржевого оборота нашли широкое применение в США, Канаде, Западной Европе и Японии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[3, </w:t>
      </w:r>
      <w:r w:rsidRPr="0068100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.226].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Структура рынка ценных бумаг западных стран представлена на рис. 1. </w:t>
      </w:r>
    </w:p>
    <w:p w:rsidR="00B717A0" w:rsidRPr="00681006" w:rsidRDefault="00586E5A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ect id="_x0000_s1026" style="position:absolute;left:0;text-align:left;margin-left:185.2pt;margin-top:17.7pt;width:134.35pt;height:34pt;z-index:251653120">
            <v:textbox>
              <w:txbxContent>
                <w:p w:rsidR="00B717A0" w:rsidRPr="00AF1F88" w:rsidRDefault="00B717A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Рынок ценных бумаг</w:t>
                  </w:r>
                </w:p>
              </w:txbxContent>
            </v:textbox>
          </v:rect>
        </w:pic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586E5A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12.75pt;margin-top:3.4pt;width:1in;height:41.1pt;z-index:251662336" o:connectortype="straight"/>
        </w:pict>
      </w:r>
      <w:r>
        <w:rPr>
          <w:noProof/>
        </w:rPr>
        <w:pict>
          <v:shape id="_x0000_s1028" type="#_x0000_t32" style="position:absolute;left:0;text-align:left;margin-left:242.8pt;margin-top:3.4pt;width:0;height:41.1pt;z-index:251661312" o:connectortype="straight"/>
        </w:pict>
      </w:r>
      <w:r>
        <w:rPr>
          <w:noProof/>
        </w:rPr>
        <w:pict>
          <v:shape id="_x0000_s1029" type="#_x0000_t32" style="position:absolute;left:0;text-align:left;margin-left:66.95pt;margin-top:3.4pt;width:125.45pt;height:41.1pt;flip:x;z-index:251660288" o:connectortype="straight"/>
        </w:pict>
      </w:r>
    </w:p>
    <w:p w:rsidR="00B717A0" w:rsidRPr="00681006" w:rsidRDefault="00586E5A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ect id="_x0000_s1030" style="position:absolute;left:0;text-align:left;margin-left:342.6pt;margin-top:20.35pt;width:128.55pt;height:1in;z-index:251656192">
            <v:textbox>
              <w:txbxContent>
                <w:p w:rsidR="00B717A0" w:rsidRPr="00AF1F88" w:rsidRDefault="00B717A0" w:rsidP="00AF1F88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Уличный рынок (рынок «через прилавок»)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.05pt;margin-top:20.35pt;width:126.55pt;height:84.3pt;z-index:251654144">
            <v:textbox>
              <w:txbxContent>
                <w:p w:rsidR="00B717A0" w:rsidRPr="00AF1F88" w:rsidRDefault="00B717A0" w:rsidP="00AF1F88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Первичный внебиржевой рынок (новая эмиссия акций и облигаций)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185.2pt;margin-top:20.35pt;width:122.4pt;height:189.25pt;z-index:251655168">
            <v:textbox>
              <w:txbxContent>
                <w:p w:rsidR="00B717A0" w:rsidRDefault="00B717A0" w:rsidP="00AF1F88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Биржевой рынок ценных бумаг (фондовая биржа)</w:t>
                  </w:r>
                </w:p>
                <w:p w:rsidR="00B717A0" w:rsidRDefault="00B717A0" w:rsidP="00AF1F88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Основной</w:t>
                  </w:r>
                </w:p>
                <w:p w:rsidR="00B717A0" w:rsidRDefault="00B717A0" w:rsidP="00AF1F88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Второй </w:t>
                  </w:r>
                </w:p>
                <w:p w:rsidR="00B717A0" w:rsidRDefault="00B717A0" w:rsidP="00AF1F88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Третий </w:t>
                  </w:r>
                </w:p>
                <w:p w:rsidR="00B717A0" w:rsidRPr="00AF1F88" w:rsidRDefault="00B717A0" w:rsidP="00AF1F88">
                  <w:pPr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586E5A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 id="_x0000_s1033" type="#_x0000_t32" style="position:absolute;left:0;text-align:left;margin-left:242.8pt;margin-top:7.55pt;width:0;height:12.35pt;z-index:251657216" o:connectortype="straight">
            <v:stroke endarrow="block"/>
          </v:shape>
        </w:pict>
      </w:r>
    </w:p>
    <w:p w:rsidR="00B717A0" w:rsidRPr="00681006" w:rsidRDefault="00586E5A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 id="_x0000_s1034" type="#_x0000_t32" style="position:absolute;left:0;text-align:left;margin-left:242.8pt;margin-top:8.05pt;width:0;height:20.6pt;z-index:251658240" o:connectortype="straight">
            <v:stroke endarrow="block"/>
          </v:shape>
        </w:pict>
      </w:r>
    </w:p>
    <w:p w:rsidR="00B717A0" w:rsidRPr="00681006" w:rsidRDefault="00586E5A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 id="_x0000_s1035" type="#_x0000_t32" style="position:absolute;left:0;text-align:left;margin-left:242.8pt;margin-top:18.9pt;width:0;height:17.5pt;z-index:251659264" o:connectortype="straight">
            <v:stroke endarrow="block"/>
          </v:shape>
        </w:pic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Рис. 1. Структура рынка ценных бумаг (западная модель)</w:t>
      </w:r>
    </w:p>
    <w:p w:rsidR="00681006" w:rsidRDefault="00681006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Рынок ценных бумаг в настоящее время в значительной степени автоматизирован. Многие выпуски ценных бумаг являются бездокументарными, то есть существуют только в виде записей на счетах в памяти компьютеров (счетах “депо”), а свидетельством их владения является выписка из реестра акционеров или со счета “депо”. Торговля ценными бумагами как во внебиржевом обороте (системы NASDAQ, РТС), так и на многих биржах (например, ММВБ) также осуществляется с автоматизированных рабочих мест брокеров с использованием компьютерных вычислительных сетей.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681006" w:rsidP="0068100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b/>
          <w:color w:val="000000"/>
          <w:sz w:val="28"/>
          <w:szCs w:val="28"/>
        </w:rPr>
        <w:t>Структура рынка ценных бумаг в России</w:t>
      </w:r>
    </w:p>
    <w:p w:rsidR="00681006" w:rsidRDefault="00681006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Структура рынка ценных бумаг в России, как и везде, характеризуется наличием первичного и вторичных рынков, а также рынков по видам фондовых инструментов и сделок. Первичное размещение и вторичный оборот немногочисленных видов ценных бумаг в начальный период развития фондового рынка РФ происходили в основном на фондовых и товарных биржах. Появление первичного внебиржевого рынка связано с выпуском в обращение в 1992 г. государственного приватизационного чека (ваучера). В середине последнего десятилетия XX в. оборот первичного внебиржевого рынка состоял преимущественно из акций, размещавшихся путем открытой или закрытой подписки, посредством фондовых магазинов, отделений связи и других каналов.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В настоящее время первичное внебиржевое размещение акций и корпоративных облигаций осуществляется либо непосредственно эмитентом, либо с помощью фирмы-посредника (агента) — профессионального участника рынка ценных бумаг. Первый способ имеет большее распространение: с одной стороны, из-за стремления многих эмитентов экономить средства за счет отказа от услуг посредников, а с другой — из-за отсутствия достаточных финансовых возможностей и опыта организации внебиржевого первичного размещения ценных бумаг у профессиональных посредников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[4, </w:t>
      </w:r>
      <w:r w:rsidRPr="0068100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.305].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Первичное внебиржевое размещение фондовых инструментов согласно законодательству страны может осуществляться и посредством образования эмиссионного синдиката (консорциума). Участники синдикам выделяют в своей структуре фирму-менеджера, андеррайтера и торговых агентов. Однако такая практика на российском рынке в настоящее время развита слабо.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Помимо этого в стране достаточно хорошо организовано и осуществляется первичное биржевое размещение ценных бумаг (ГКО-ОФЗ и других государственных облигаций) на аукционах при посредничестве Московской межбанковской валютной биржи (ММВБ).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Вторичный рынок ценных бумаг РФ также делится на внебиржевой и биржевой. Главным вторичным внебиржевым рынком страны до недавнего времени выступало созданное в 1995 г. некоммерческое партнерство — Российская торговая система (РТС), объединившая четыре разрозненных внебиржевых рынка — Москвы. Санкт-Петербурга. Екатеринбурга и Новосибирска — в единую телекоммуникационную сеть. РТС состоит из брокерско-дилерских компаний — членов Национальной ассоциации участников фондового рынка (НАУФОР).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В начале своей деятельности РТС осуществляла котировку ценных бумаг ОАО “Ростелеком”, РАО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“ЕЭС России”. ОАО “Юганскнефтегаз”, ОАО “Мосэнерго”, ОАО “Коминефть”, ОАО “Пурнеф-тегаз”, ОАО “Иркутскэнерго”, затем процедуру листинга прошли и другие отечественные компании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[4, </w:t>
      </w:r>
      <w:r w:rsidRPr="0068100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.306].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РТС проводит автоматизированные торговые операции в режиме реального времени. Сегодня РТС получила статус фондовой биржи. Вторичный биржевой оборот осуществляется на фондовых и в редких случаях на других биржах. Сегодня в РФ насчитывается 10 фондовых бирж, включая Фондовую биржу РТС. Российским законодательством предусмотрена лишь одна организационно-правовая форма фондовой биржи — некоммерческое партнерство. Подавляющая часть сделок в России совершается на Фондовой бирже РТС (ФБ РТС), Московской межбанковской валютной бирже (ММВБ) и Московской фондовой бирже (МФБ). Размер годового торгового оборота акций на российских биржах в десятки и сотни раз уступает другим странам, а количество совершаемых здесь сделок меньше в сотни и тысячи раз. Особенностью российского рынка ценных бумаг по-прежнему является существенный объем внебиржевого вторичного оборота акций. Размер биржевого оборота облигаций примерно в 10 раз превосходит соответствующий показатель по акциям. Подавляющая его часть (99%) приходится на государственный сектор. Корпоративные облигации, как и акции, перепродаются преимущественно на внебиржевом рынке. Московская фондовая биржа (МФБ), учрежденная в марте 1997 г. в качестве некоммерческого партнерства, сегодня одна из ведущих в стране. В 2001 г. она насчитывала 367 членов из различных регионов РФ (от Санкт-Петербурга до Владивостока). МФБ осуществляет проведение аукционов по первичному размещению ценных бумаг; специализированных аукционов, в частности по реализации заложенного имущества; организует и проводит вторичные торги ценными бумагами и срочными контрактами на ценные бумаги, а также другими активами и объектами, в том числе фьючерсными контрактами на доллар США, фондовый индекс RUX агентства “РТС-Интерфакс” (см. ниже). Биржей разрабатывается проект “Рынок двойных складских свидетельств и варрантов на МФБ”. Сегодня в биржевые котировочные листы первого и второго уровней включены более 60 видов фондовых инструментов, в основном акции ОАО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“Газпром”, РАО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“ЕЭС России”, ОАО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“Сиб-нефть”, АООТ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“Аэрофлот”, а также облигации правительства Москвы. Средний ежемесячный объем биржевого оборота в 2001 г. составлял около 4 млрд. руб.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Участники биржевых операций с 2000 г. могут пользоваться программой “удаленного торгового терминала МФБ” через выделенные телекоммуникационные каналы связи, а также через Internet. Биржевая компьютерная система обеспечивает: обслуживание счетов “депо” участников торгов и их клиентов, проведение операций зачисления — списания ценных бумаг и денежных средств в процессе торгов, получение биржевых отчетов и другое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[4, </w:t>
      </w:r>
      <w:r w:rsidRPr="0068100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.307].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На бирже выполняется программа “коллективного партнерства МФБ”, направленная на развитие региональных рынков ценных бумаг страны. В 2001 г. к ней присоединились Сибирская, Владивостокская, Екатеринбургская и Казанская фондовые биржи; рассматривается возможность присоединения Иркутской, Санкт-Петербургской и Нижегородской фондовых бирж.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Срочные рынки (рынки деривативов) в РФ появились практически одновременно (с 1990 г.) с рынками реальных ценных бумаг. Первыми были рынки валютных фьючерсов. Затем начали использоваться фьючерсы на ГКО, акции и фондовые индексы. Главными центрами торговли срочными инструментами до 1998 г. являлись: Московская Центральная фондовая биржа (МЦФБ), ММВБ и Российская Биржа (РБ). В результате кризиса 1998 г. основной сегмент этого рынка — фьючерсы на ГКО — прекратил существование, а РБ потерпела банкротство.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Маржинальная торговля — новое (посткризисное) явление на российском рынке ценных бумаг; она сосредоточена на фондовой секции ММВБ. На других фондовых площадках объемы таких операций сегодня незначительны из-за их низкой ликвидности. Маржинальная торговля ориентирована на привлечение средних и мелких клиентов, включая физических лиц. Ее сущность состоит в открытии брокерской, инвестиционной или иной компанией маржинального счета для клиента, посредством которого он может покупать и продавать ценные бумаги, используя заемные ресурсы (денежные средства и ценные бумаги), предоставляемые ему компанией. Активы маржинального счета служат обеспечением заимствований клиента. Практикуются два вида операций: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- покупка бумаг с использованием маржи, когда клиент оплачивает часть суммы сделки, а другая часть предоставляется брокерской компанией взаймы;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-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“короткая” продажа или продажа “без покрытия”, когда клиент берет взаймы для продажи ценные бумаги у брокерской компании, а через установленное время погашает заем такими же бумагами, приобретаемыми в результате другой сделки.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Развитие маржинальных сделок повышает активность и ликвидность всей биржевой торговли, однако вопросы правового обеспечения этой деятельности в стране еще недостаточно урегулированы[4, </w:t>
      </w:r>
      <w:r w:rsidRPr="0068100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.308].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Фондовые индексы, рассчитываемые и публикуемые сегодня в стране, весьма разнообразны: индекс инвестиционного банка CS First Boston (ROS Index) и индексы агентства “Скейт Пресс” (АСП); индексы агентства “Акции, консультации и маркетинг” (АК&amp;М), консалтинговой компании “Соболев” (SOB1), Российской торговой системы (РТС), издательства “The Moscow Times” (MTMS), агентства “Интерфакс” (ИФ), еженедельника “Коммерсант” (“Ч” и “Ъ”), агентства “РосБизнесКонсалтинг” (RBC Composite Index), индексного фонда ОАО “Базовый индекс капитала” (Real Index RosCapital) и другие.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Семейство индексов АК&amp;М включает: сводный индекс АК&amp;М, индекс акций промышленных предприятий, индекс акций “второго эшелона”, а также одиннадцать отраслевых индексов и индекс АДР.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Расчет индексов АК&amp;М производится по единой методике, в основе которой — определение относительного изменения суммарной капитализации по ценным бумагам широкого круга эмитентов, прошедшим листинг. Состав бумаг, участвующих в расчете индексов, может включать наряду с высоколиквидными акциями, также и акции с относительно низкой ликвидностью. Капитализация рассчитывается на основе котировальных цен. Индекс АДР учитывает только ценные бумаги, обращающиеся на зарубежных фондовых рынках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[1, </w:t>
      </w:r>
      <w:r w:rsidRPr="0068100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.105].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Индекс SOBI (Sobolev Index) рассчитывается в рублевом и долларовом выражении. В расчете используются данные 20 российских эмитентов, чьи акции пользуются наибольшим спросом.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Семейство индексов РТС охватывает индексы: RTS1. RTST, а также индекс RUX, рассчитываемый агентством “РТС-Интерфакс”. Индексы РТС представляют собой отношение суммарной рыночной капитализации включенных в расчет акций к суммарной рыночной капитализации этих же акций на базовую дату, умноженное на значение индекса на базовую дату. Размер рыночной капитализации устанавливается исходя из цен и количества выпущенных эмитентами акций.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Индекс RTS1 — официальный индекс “Фондовой биржи РТС”; его базовое значение равно 100 (на 1 сентября 1995 г.). Технический индекс RTST рассчитывается каждую минуту в течение торговой сессии (с 11 до 18 часов). Его базовое значение — 396,858 (на 31 декабря 1997 г.).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Индекс RUX, ранее называвшийся сводным индексом РТС-Интерфакс, рассчитывается в рублевом и долларовом выражении одноименным агентством. Методика расчета индекса базируется на использовании ценовой информации по всем подтвержденным сделкам на “Фондовой бирже РТС” и сделкам с акциями ОАО “Газпром”, заключенным на Московской фондовой бирже (МФБ). Базовое значение индекса на 5 января 1998 г. — 100.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Агентство “РосБизнесКонсалтинг” с 1 сентября 1997 г. рассчитывает и публикует индекс RBC Composite Index, базовое значение которого принято за 100. В настоящее время индекс рассчитывается как среднегеометрическая взвешенная котировка акций 14 ведущих российских компаний по трем фондовым площадкам: ММВБ, ФБ РТС, МФБ.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 xml:space="preserve">Индексный фонд ОАО “Базовый индекс капитала” (Basic Index Capital, Corp.) с августа 2000 г. начал регулярный расчет индекса Real Index RosCapital. Индекс именуется реальным, поскольку в его расчет включены все фондовые ценности, обращающиеся на организованных российских рынках, отвечающие установленной минимальной величине ликвидности, — государственные и частные долговые обязательства, а также привилегированные и обыкновенные акции. Критерием включения в расчет служит качество конкретных видов ценных бумаг, а не показатели эмитента в целом. Особенностью индекса является его производный характер от стоимости акций ОАО “Базовый индекс капитала”.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Структура современного российского рынка ценных бумаг формально содержит практически все элементы, характерные для высокоразвитых фондовых рынков, однако степень развития этих элементов далеко несопоставима с ними, несмотря на то, что организационно-техническое и информационное обеспечения рынка ценных бумаг в РФ достаточно прогрессивны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[1, </w:t>
      </w:r>
      <w:r w:rsidRPr="0068100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81006">
        <w:rPr>
          <w:rFonts w:ascii="Times New Roman" w:hAnsi="Times New Roman"/>
          <w:color w:val="000000"/>
          <w:sz w:val="28"/>
          <w:szCs w:val="28"/>
        </w:rPr>
        <w:t xml:space="preserve">.106]. 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681006" w:rsidP="0068100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681006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681006" w:rsidRDefault="00681006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Итак, подводя итоги данной работы, можно сделать выводы: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- рынок ценных бумаг (РЦБ) — это рынок, на котором в качестве товаров выступают ценные бумаги. Главная функция РЦБ состоит в мобилизации финансовых ресурсов общества для целей организации и расширения масштабов хозяйственной деятельности. В структуре РЦБ выделяют денежный рынок и рынок капитала, первичный и вторичный рынки. В свою очередь, вторичный рынок подразделяется на биржевой и внебиржевой сегменты. По характеру эмитентов РЦБ делится на рынки государственных и негосударственных ценных бумаг. Рынок государственных ценных бумаг играет важное значение для регулирования экономической конъюнктуры в стране;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-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образование фиктивного капитала связано с появлением ссудного капитала. Фиктивный капитал возникает как следствие приобретения ценных бумаг, дающих право на получение определенного дохода (процента на капитал). Первоначальной формой фиктивного капитала в период домонополистического капитализма и “свободной конкуренции” служили облигации государственных займов;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- самостоятельное движение фиктивного капитала на рынке приводит к резкому отрыву рыночной стоимости от балансовой, увеличивая разрыв между реальной стоимостью материальных ценностей и их относительно фиксированной стоимостью, представленной в ценных бумагах;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- первичное внебиржевое размещение фондовых инструментов согласно законодательству страны может осуществляться и посредством образования эмиссионного синдиката (консорциума). Участники синдикам выделяют в своей структуре фирму-менеджера, андеррайтера и торговых агентов. Однако такая практика на российском рынке в настоящее время развита слабо;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- маржинальная торговля — новое (посткризисное) явление на российском рынке ценных бумаг; она сосредоточена на фондовой секции ММВБ. На других фондовых площадках объемы таких операций сегодня незначительны из-за их низкой ликвидности. Маржинальная торговля ориентирована на привлечение средних и мелких клиентов, включая физических лиц.</w:t>
      </w: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Pr="00681006" w:rsidRDefault="00B717A0" w:rsidP="006810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7A0" w:rsidRDefault="00681006" w:rsidP="0068100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681006">
        <w:rPr>
          <w:rFonts w:ascii="Times New Roman" w:hAnsi="Times New Roman"/>
          <w:b/>
          <w:color w:val="000000"/>
          <w:sz w:val="28"/>
          <w:szCs w:val="28"/>
        </w:rPr>
        <w:t>Список использованной литературы</w:t>
      </w:r>
    </w:p>
    <w:p w:rsidR="00681006" w:rsidRPr="00681006" w:rsidRDefault="00681006" w:rsidP="0068100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717A0" w:rsidRPr="00681006" w:rsidRDefault="00B717A0" w:rsidP="00681006">
      <w:pPr>
        <w:pStyle w:val="a3"/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Баутов А.Н. Общая оценка фондового рынка и некоторые тенденции. Сценарии развития процессов. М.: Экономика,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2005. 356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с.</w:t>
      </w:r>
    </w:p>
    <w:p w:rsidR="00B717A0" w:rsidRPr="00681006" w:rsidRDefault="00B717A0" w:rsidP="00681006">
      <w:pPr>
        <w:pStyle w:val="a3"/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Бердникова Т.Б.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Рынок ценных бумаг и биржевой деятельности М.: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Инфра-М, 2006. 462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с.</w:t>
      </w:r>
    </w:p>
    <w:p w:rsidR="00B717A0" w:rsidRPr="00681006" w:rsidRDefault="00B717A0" w:rsidP="00681006">
      <w:pPr>
        <w:pStyle w:val="a3"/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Иванов А.В. Сценарии развития российского рынка ценных бумаг. М.: Финпресс, 2004. 439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с.</w:t>
      </w:r>
    </w:p>
    <w:p w:rsidR="00B717A0" w:rsidRPr="00681006" w:rsidRDefault="00B717A0" w:rsidP="00681006">
      <w:pPr>
        <w:pStyle w:val="a3"/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Звягинцев Д. Проблемы развития рынка ценных бумаг в России. М.: Экономика, 2001. 374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006">
        <w:rPr>
          <w:rFonts w:ascii="Times New Roman" w:hAnsi="Times New Roman"/>
          <w:color w:val="000000"/>
          <w:sz w:val="28"/>
          <w:szCs w:val="28"/>
        </w:rPr>
        <w:t>с.</w:t>
      </w:r>
    </w:p>
    <w:p w:rsidR="00B717A0" w:rsidRPr="00681006" w:rsidRDefault="00B717A0" w:rsidP="00681006">
      <w:pPr>
        <w:pStyle w:val="a3"/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81006">
        <w:rPr>
          <w:rFonts w:ascii="Times New Roman" w:hAnsi="Times New Roman"/>
          <w:color w:val="000000"/>
          <w:sz w:val="28"/>
          <w:szCs w:val="28"/>
        </w:rPr>
        <w:t>Миркин Я. Ценные бумаги и фондовый рынок. М.: Перспектива, 2005. 368</w:t>
      </w:r>
      <w:r w:rsidR="00681006">
        <w:rPr>
          <w:rFonts w:ascii="Times New Roman" w:hAnsi="Times New Roman"/>
          <w:color w:val="000000"/>
          <w:sz w:val="28"/>
          <w:szCs w:val="28"/>
        </w:rPr>
        <w:t xml:space="preserve"> с.</w:t>
      </w:r>
      <w:bookmarkStart w:id="0" w:name="_GoBack"/>
      <w:bookmarkEnd w:id="0"/>
    </w:p>
    <w:sectPr w:rsidR="00B717A0" w:rsidRPr="00681006" w:rsidSect="00681006">
      <w:headerReference w:type="default" r:id="rId7"/>
      <w:pgSz w:w="11906" w:h="16838"/>
      <w:pgMar w:top="1134" w:right="850" w:bottom="1134" w:left="1701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A28" w:rsidRDefault="007C5A28" w:rsidP="002D6946">
      <w:pPr>
        <w:spacing w:after="0" w:line="240" w:lineRule="auto"/>
      </w:pPr>
      <w:r>
        <w:separator/>
      </w:r>
    </w:p>
  </w:endnote>
  <w:endnote w:type="continuationSeparator" w:id="0">
    <w:p w:rsidR="007C5A28" w:rsidRDefault="007C5A28" w:rsidP="002D6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A28" w:rsidRDefault="007C5A28" w:rsidP="002D6946">
      <w:pPr>
        <w:spacing w:after="0" w:line="240" w:lineRule="auto"/>
      </w:pPr>
      <w:r>
        <w:separator/>
      </w:r>
    </w:p>
  </w:footnote>
  <w:footnote w:type="continuationSeparator" w:id="0">
    <w:p w:rsidR="007C5A28" w:rsidRDefault="007C5A28" w:rsidP="002D6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7A0" w:rsidRPr="00681006" w:rsidRDefault="0036298C">
    <w:pPr>
      <w:pStyle w:val="a4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391D65"/>
    <w:multiLevelType w:val="hybridMultilevel"/>
    <w:tmpl w:val="AB488792"/>
    <w:lvl w:ilvl="0" w:tplc="7DC21E2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7F83122D"/>
    <w:multiLevelType w:val="hybridMultilevel"/>
    <w:tmpl w:val="CB60A8A6"/>
    <w:lvl w:ilvl="0" w:tplc="6388DF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8E8"/>
    <w:rsid w:val="00055BB4"/>
    <w:rsid w:val="000C08E8"/>
    <w:rsid w:val="00104A57"/>
    <w:rsid w:val="001C5998"/>
    <w:rsid w:val="0029088A"/>
    <w:rsid w:val="002D6946"/>
    <w:rsid w:val="0036298C"/>
    <w:rsid w:val="00586E5A"/>
    <w:rsid w:val="00681006"/>
    <w:rsid w:val="007A27A5"/>
    <w:rsid w:val="007C5A28"/>
    <w:rsid w:val="009C1C22"/>
    <w:rsid w:val="00AB20DB"/>
    <w:rsid w:val="00AC5548"/>
    <w:rsid w:val="00AF1F88"/>
    <w:rsid w:val="00B717A0"/>
    <w:rsid w:val="00C11741"/>
    <w:rsid w:val="00C2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3"/>
        <o:r id="V:Rule5" type="connector" idref="#_x0000_s1034"/>
        <o:r id="V:Rule6" type="connector" idref="#_x0000_s1035"/>
      </o:rules>
    </o:shapelayout>
  </w:shapeDefaults>
  <w:decimalSymbol w:val=","/>
  <w:listSeparator w:val=";"/>
  <w14:defaultImageDpi w14:val="0"/>
  <w15:chartTrackingRefBased/>
  <w15:docId w15:val="{07E9B26B-10B9-4983-8576-665D6675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7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04A57"/>
    <w:pPr>
      <w:ind w:left="720"/>
      <w:contextualSpacing/>
    </w:pPr>
  </w:style>
  <w:style w:type="paragraph" w:styleId="a4">
    <w:name w:val="header"/>
    <w:basedOn w:val="a"/>
    <w:link w:val="a5"/>
    <w:uiPriority w:val="99"/>
    <w:rsid w:val="002D6946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semiHidden/>
    <w:rsid w:val="002D6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2D694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D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semiHidden/>
    <w:locked/>
    <w:rsid w:val="002D6946"/>
    <w:rPr>
      <w:rFonts w:cs="Times New Roman"/>
    </w:rPr>
  </w:style>
  <w:style w:type="character" w:customStyle="1" w:styleId="a9">
    <w:name w:val="Текст выноски Знак"/>
    <w:link w:val="a8"/>
    <w:uiPriority w:val="99"/>
    <w:semiHidden/>
    <w:locked/>
    <w:rsid w:val="002D6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3713</Words>
  <Characters>21167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HP</Company>
  <LinksUpToDate>false</LinksUpToDate>
  <CharactersWithSpaces>24831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13</dc:creator>
  <cp:keywords/>
  <dc:description/>
  <cp:lastModifiedBy>admin</cp:lastModifiedBy>
  <cp:revision>2</cp:revision>
  <dcterms:created xsi:type="dcterms:W3CDTF">2014-03-12T22:34:00Z</dcterms:created>
  <dcterms:modified xsi:type="dcterms:W3CDTF">2014-03-12T22:34:00Z</dcterms:modified>
</cp:coreProperties>
</file>