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36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  <w:r w:rsidRPr="00996655">
        <w:rPr>
          <w:szCs w:val="28"/>
        </w:rPr>
        <w:t>Федеральное агентство по образованию Российской Федерации</w:t>
      </w: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  <w:r w:rsidRPr="00996655">
        <w:rPr>
          <w:szCs w:val="28"/>
        </w:rPr>
        <w:t>Уральский государственный экономический университет</w:t>
      </w: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  <w:r w:rsidRPr="00996655">
        <w:rPr>
          <w:szCs w:val="28"/>
        </w:rPr>
        <w:t>Кафедра ценных бумаг</w:t>
      </w: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96655" w:rsidRDefault="00996655" w:rsidP="00996655">
      <w:pPr>
        <w:spacing w:line="360" w:lineRule="auto"/>
        <w:ind w:firstLine="709"/>
        <w:jc w:val="center"/>
        <w:rPr>
          <w:szCs w:val="28"/>
        </w:rPr>
      </w:pPr>
    </w:p>
    <w:p w:rsidR="00996655" w:rsidRPr="00996655" w:rsidRDefault="00996655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  <w:r w:rsidRPr="00996655">
        <w:rPr>
          <w:szCs w:val="28"/>
        </w:rPr>
        <w:t>Контрольная работа</w:t>
      </w: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  <w:r w:rsidRPr="00996655">
        <w:rPr>
          <w:szCs w:val="28"/>
        </w:rPr>
        <w:t>по предмету: Рынок ценных бумаг</w:t>
      </w: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9014C7" w:rsidP="00996655">
      <w:pPr>
        <w:spacing w:line="360" w:lineRule="auto"/>
        <w:ind w:firstLine="709"/>
        <w:jc w:val="center"/>
        <w:rPr>
          <w:szCs w:val="28"/>
        </w:rPr>
      </w:pPr>
    </w:p>
    <w:p w:rsidR="009014C7" w:rsidRPr="00996655" w:rsidRDefault="006E00CC" w:rsidP="00996655">
      <w:pPr>
        <w:spacing w:line="360" w:lineRule="auto"/>
        <w:ind w:firstLine="709"/>
        <w:rPr>
          <w:szCs w:val="28"/>
        </w:rPr>
      </w:pPr>
      <w:r w:rsidRPr="00996655">
        <w:rPr>
          <w:szCs w:val="28"/>
        </w:rPr>
        <w:t>Выполнил:</w:t>
      </w:r>
      <w:r w:rsidRPr="00996655">
        <w:rPr>
          <w:szCs w:val="28"/>
        </w:rPr>
        <w:tab/>
      </w:r>
      <w:r w:rsidR="009014C7" w:rsidRPr="00996655">
        <w:rPr>
          <w:szCs w:val="28"/>
        </w:rPr>
        <w:t xml:space="preserve">студент </w:t>
      </w:r>
      <w:r w:rsidR="00F7784B" w:rsidRPr="00996655">
        <w:rPr>
          <w:szCs w:val="28"/>
        </w:rPr>
        <w:t>4 курса</w:t>
      </w:r>
    </w:p>
    <w:p w:rsidR="00F7784B" w:rsidRPr="00996655" w:rsidRDefault="00F7784B" w:rsidP="00996655">
      <w:pPr>
        <w:spacing w:line="360" w:lineRule="auto"/>
        <w:ind w:firstLine="709"/>
        <w:rPr>
          <w:szCs w:val="28"/>
        </w:rPr>
      </w:pPr>
      <w:r w:rsidRPr="00996655">
        <w:rPr>
          <w:szCs w:val="28"/>
        </w:rPr>
        <w:t>заочного факультета</w:t>
      </w:r>
    </w:p>
    <w:p w:rsidR="00F7784B" w:rsidRPr="00996655" w:rsidRDefault="00F7784B" w:rsidP="00996655">
      <w:pPr>
        <w:spacing w:line="360" w:lineRule="auto"/>
        <w:ind w:firstLine="709"/>
        <w:rPr>
          <w:szCs w:val="28"/>
        </w:rPr>
      </w:pPr>
      <w:r w:rsidRPr="00996655">
        <w:rPr>
          <w:szCs w:val="28"/>
        </w:rPr>
        <w:t>по специальности</w:t>
      </w:r>
    </w:p>
    <w:p w:rsidR="00F7784B" w:rsidRPr="00996655" w:rsidRDefault="00F7784B" w:rsidP="00996655">
      <w:pPr>
        <w:spacing w:line="360" w:lineRule="auto"/>
        <w:ind w:firstLine="709"/>
        <w:rPr>
          <w:szCs w:val="28"/>
        </w:rPr>
      </w:pPr>
      <w:r w:rsidRPr="00996655">
        <w:rPr>
          <w:szCs w:val="28"/>
        </w:rPr>
        <w:t>«Финансы и кредит»</w:t>
      </w:r>
    </w:p>
    <w:p w:rsidR="00F7784B" w:rsidRPr="00996655" w:rsidRDefault="00772C62" w:rsidP="00996655">
      <w:pPr>
        <w:spacing w:line="360" w:lineRule="auto"/>
        <w:ind w:firstLine="709"/>
        <w:rPr>
          <w:szCs w:val="28"/>
        </w:rPr>
      </w:pPr>
      <w:r w:rsidRPr="00996655">
        <w:rPr>
          <w:szCs w:val="28"/>
        </w:rPr>
        <w:t>Горелова Н.С.</w:t>
      </w: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szCs w:val="28"/>
        </w:rPr>
      </w:pPr>
      <w:r w:rsidRPr="00996655">
        <w:rPr>
          <w:szCs w:val="28"/>
        </w:rPr>
        <w:t>Екатеринбург, 2008</w:t>
      </w:r>
    </w:p>
    <w:p w:rsidR="003718BB" w:rsidRPr="00996655" w:rsidRDefault="00F7784B" w:rsidP="00996655">
      <w:pPr>
        <w:spacing w:line="360" w:lineRule="auto"/>
        <w:ind w:firstLine="709"/>
        <w:jc w:val="center"/>
        <w:rPr>
          <w:b/>
          <w:szCs w:val="28"/>
        </w:rPr>
      </w:pPr>
      <w:r w:rsidRPr="00996655">
        <w:rPr>
          <w:szCs w:val="28"/>
        </w:rPr>
        <w:br w:type="page"/>
      </w:r>
      <w:r w:rsidR="003718BB" w:rsidRPr="00996655">
        <w:rPr>
          <w:b/>
          <w:szCs w:val="28"/>
        </w:rPr>
        <w:t>Оглавление</w:t>
      </w:r>
    </w:p>
    <w:p w:rsidR="00996655" w:rsidRDefault="00996655" w:rsidP="00996655">
      <w:pPr>
        <w:spacing w:line="360" w:lineRule="auto"/>
        <w:ind w:firstLine="709"/>
        <w:jc w:val="both"/>
        <w:rPr>
          <w:szCs w:val="28"/>
        </w:rPr>
      </w:pPr>
    </w:p>
    <w:p w:rsidR="00D91BE0" w:rsidRPr="00996655" w:rsidRDefault="00D91BE0" w:rsidP="00996655">
      <w:pPr>
        <w:spacing w:line="360" w:lineRule="auto"/>
        <w:rPr>
          <w:noProof/>
          <w:szCs w:val="28"/>
          <w:lang w:eastAsia="ru-RU"/>
        </w:rPr>
      </w:pPr>
      <w:r w:rsidRPr="000537A1">
        <w:rPr>
          <w:noProof/>
          <w:szCs w:val="28"/>
        </w:rPr>
        <w:t>Теоретическая часть</w:t>
      </w:r>
    </w:p>
    <w:p w:rsidR="00D91BE0" w:rsidRPr="00996655" w:rsidRDefault="00D91BE0" w:rsidP="00996655">
      <w:pPr>
        <w:spacing w:line="360" w:lineRule="auto"/>
        <w:rPr>
          <w:noProof/>
          <w:szCs w:val="28"/>
          <w:lang w:eastAsia="ru-RU"/>
        </w:rPr>
      </w:pPr>
      <w:r w:rsidRPr="000537A1">
        <w:rPr>
          <w:noProof/>
          <w:szCs w:val="28"/>
        </w:rPr>
        <w:t>1. Российская торговая система (РТС): современное состояние, перспективы развития.</w:t>
      </w:r>
      <w:r w:rsidR="00996655" w:rsidRPr="00996655">
        <w:rPr>
          <w:noProof/>
          <w:szCs w:val="28"/>
          <w:lang w:eastAsia="ru-RU"/>
        </w:rPr>
        <w:t xml:space="preserve"> </w:t>
      </w:r>
    </w:p>
    <w:p w:rsidR="00D91BE0" w:rsidRPr="00996655" w:rsidRDefault="00D91BE0" w:rsidP="00996655">
      <w:pPr>
        <w:spacing w:line="360" w:lineRule="auto"/>
        <w:rPr>
          <w:noProof/>
          <w:szCs w:val="28"/>
          <w:lang w:eastAsia="ru-RU"/>
        </w:rPr>
      </w:pPr>
      <w:r w:rsidRPr="000537A1">
        <w:rPr>
          <w:noProof/>
          <w:szCs w:val="28"/>
        </w:rPr>
        <w:t>2. Российский рынок облигаций частных эмитентов.</w:t>
      </w:r>
      <w:r w:rsidR="00996655" w:rsidRPr="00996655">
        <w:rPr>
          <w:noProof/>
          <w:szCs w:val="28"/>
          <w:lang w:eastAsia="ru-RU"/>
        </w:rPr>
        <w:t xml:space="preserve"> </w:t>
      </w:r>
    </w:p>
    <w:p w:rsidR="00D91BE0" w:rsidRPr="00996655" w:rsidRDefault="00D91BE0" w:rsidP="00996655">
      <w:pPr>
        <w:spacing w:line="360" w:lineRule="auto"/>
        <w:rPr>
          <w:noProof/>
          <w:szCs w:val="28"/>
          <w:lang w:eastAsia="ru-RU"/>
        </w:rPr>
      </w:pPr>
      <w:r w:rsidRPr="000537A1">
        <w:rPr>
          <w:noProof/>
          <w:szCs w:val="28"/>
        </w:rPr>
        <w:t>3. Проблемы раскрытия информации на российском рынке ценных бумаг.</w:t>
      </w:r>
      <w:r w:rsidR="00996655" w:rsidRPr="00996655">
        <w:rPr>
          <w:noProof/>
          <w:szCs w:val="28"/>
          <w:lang w:eastAsia="ru-RU"/>
        </w:rPr>
        <w:t xml:space="preserve"> </w:t>
      </w:r>
    </w:p>
    <w:p w:rsidR="00D91BE0" w:rsidRPr="00996655" w:rsidRDefault="00D91BE0" w:rsidP="00996655">
      <w:pPr>
        <w:spacing w:line="360" w:lineRule="auto"/>
        <w:rPr>
          <w:noProof/>
          <w:szCs w:val="28"/>
          <w:lang w:eastAsia="ru-RU"/>
        </w:rPr>
      </w:pPr>
      <w:r w:rsidRPr="000537A1">
        <w:rPr>
          <w:noProof/>
          <w:szCs w:val="28"/>
        </w:rPr>
        <w:t>Практическая часть</w:t>
      </w:r>
    </w:p>
    <w:p w:rsidR="00D91BE0" w:rsidRPr="00996655" w:rsidRDefault="00D91BE0" w:rsidP="00996655">
      <w:pPr>
        <w:spacing w:line="360" w:lineRule="auto"/>
        <w:rPr>
          <w:noProof/>
          <w:szCs w:val="28"/>
          <w:lang w:eastAsia="ru-RU"/>
        </w:rPr>
      </w:pPr>
      <w:r w:rsidRPr="000537A1">
        <w:rPr>
          <w:noProof/>
          <w:szCs w:val="28"/>
        </w:rPr>
        <w:t>Список использованной литературы</w:t>
      </w:r>
    </w:p>
    <w:p w:rsidR="00996655" w:rsidRDefault="00996655" w:rsidP="00996655">
      <w:pPr>
        <w:spacing w:line="360" w:lineRule="auto"/>
        <w:ind w:firstLine="709"/>
        <w:jc w:val="both"/>
        <w:rPr>
          <w:szCs w:val="28"/>
        </w:rPr>
      </w:pPr>
    </w:p>
    <w:p w:rsidR="00F7784B" w:rsidRPr="00996655" w:rsidRDefault="00F7784B" w:rsidP="00996655">
      <w:pPr>
        <w:spacing w:line="360" w:lineRule="auto"/>
        <w:ind w:firstLine="709"/>
        <w:jc w:val="center"/>
        <w:rPr>
          <w:b/>
          <w:szCs w:val="28"/>
        </w:rPr>
      </w:pPr>
      <w:r w:rsidRPr="00996655">
        <w:rPr>
          <w:szCs w:val="28"/>
        </w:rPr>
        <w:br w:type="page"/>
      </w:r>
      <w:bookmarkStart w:id="0" w:name="_Toc215508528"/>
      <w:r w:rsidR="00AE4083" w:rsidRPr="00996655">
        <w:rPr>
          <w:b/>
          <w:szCs w:val="28"/>
        </w:rPr>
        <w:t>Теоретическая часть</w:t>
      </w:r>
      <w:bookmarkEnd w:id="0"/>
    </w:p>
    <w:p w:rsidR="00AE4083" w:rsidRPr="00996655" w:rsidRDefault="00AE4083" w:rsidP="00996655">
      <w:pPr>
        <w:spacing w:line="360" w:lineRule="auto"/>
        <w:ind w:firstLine="709"/>
        <w:jc w:val="center"/>
        <w:rPr>
          <w:szCs w:val="28"/>
        </w:rPr>
      </w:pPr>
    </w:p>
    <w:p w:rsidR="00AE4083" w:rsidRPr="00996655" w:rsidRDefault="00AE4083" w:rsidP="00996655">
      <w:pPr>
        <w:spacing w:line="360" w:lineRule="auto"/>
        <w:ind w:firstLine="709"/>
        <w:jc w:val="center"/>
        <w:rPr>
          <w:b/>
          <w:szCs w:val="28"/>
        </w:rPr>
      </w:pPr>
      <w:bookmarkStart w:id="1" w:name="_Toc215508529"/>
      <w:r w:rsidRPr="00996655">
        <w:rPr>
          <w:b/>
          <w:szCs w:val="28"/>
        </w:rPr>
        <w:t>1. Российская торговая система (РТС): современное состояние, перспективы развития</w:t>
      </w:r>
      <w:bookmarkEnd w:id="1"/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</w:p>
    <w:p w:rsidR="006E00CC" w:rsidRPr="00996655" w:rsidRDefault="006E00CC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Российска</w:t>
      </w:r>
      <w:r w:rsidR="00F74AF3" w:rsidRPr="00996655">
        <w:rPr>
          <w:szCs w:val="28"/>
        </w:rPr>
        <w:t xml:space="preserve">я торговая система — система </w:t>
      </w:r>
      <w:r w:rsidRPr="00996655">
        <w:rPr>
          <w:szCs w:val="28"/>
        </w:rPr>
        <w:t>биржевой торговли ценными бумагами. В качестве ее первоначального варианта — «Портал» — была принята одна из подсистем американской внебиржевой системы торговли NASDAQ. Технические средства «Портал» были усовершенствованы российскими специалистами, и система получила свое нынешнее наименование. РТС была создана при финансовом содействии правительства США.</w:t>
      </w:r>
    </w:p>
    <w:p w:rsidR="006E00CC" w:rsidRPr="00996655" w:rsidRDefault="006E00CC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Основным объектом торговых сделок в РТС являются акции крупнейших российских компаний. Всего в основном листинге РТС более 75 крупных компаний.</w:t>
      </w:r>
    </w:p>
    <w:p w:rsidR="006E00CC" w:rsidRPr="00996655" w:rsidRDefault="006E00CC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 xml:space="preserve">По оценкам брокеров к концу </w:t>
      </w:r>
      <w:smartTag w:uri="urn:schemas-microsoft-com:office:smarttags" w:element="metricconverter">
        <w:smartTagPr>
          <w:attr w:name="ProductID" w:val="1995 г"/>
        </w:smartTagPr>
        <w:r w:rsidRPr="00996655">
          <w:rPr>
            <w:szCs w:val="28"/>
          </w:rPr>
          <w:t>1995 г</w:t>
        </w:r>
      </w:smartTag>
      <w:r w:rsidRPr="00996655">
        <w:rPr>
          <w:szCs w:val="28"/>
        </w:rPr>
        <w:t>. через РТС совершалось не более 10—15% всех сделок с акциями приватизированных предприятий (у крупных московских брокеров — основателей ПАУФОР через РТС проходило около 50% оборота).</w:t>
      </w:r>
    </w:p>
    <w:p w:rsidR="006E00CC" w:rsidRPr="00996655" w:rsidRDefault="006E00CC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Однако ряд объективных причин привел к тому, что сейчас РТС является основной торговой площадкой для корпоративных ценных бумаг, через которую проходит около 80-90 % всего общероссийского объема торгуемых акций.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На основании цен, формирующихся на рынке акций, с 1995 года рассчитывается индекс РТС. Это основной индикатор фондового рынка России, признанный не только в России, но и за рубежом. Методика его расчета постоянно совершенствуется, что позволяет ему сохранять лидирующие позиции ведущего индикатора деловой активности России. Индекс РТС рассчитывается на основании котировок 50 ценных бумаг наиболее капитализированных российских компаний.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В феврале </w:t>
      </w:r>
      <w:smartTag w:uri="urn:schemas-microsoft-com:office:smarttags" w:element="metricconverter">
        <w:smartTagPr>
          <w:attr w:name="ProductID" w:val="2001 г"/>
        </w:smartTagPr>
        <w:r w:rsidRPr="00996655">
          <w:rPr>
            <w:szCs w:val="28"/>
            <w:lang w:eastAsia="ru-RU"/>
          </w:rPr>
          <w:t>2001 г</w:t>
        </w:r>
      </w:smartTag>
      <w:r w:rsidRPr="00996655">
        <w:rPr>
          <w:szCs w:val="28"/>
          <w:lang w:eastAsia="ru-RU"/>
        </w:rPr>
        <w:t xml:space="preserve">. была введена в эксплуатацию система </w:t>
      </w: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 — информационная система </w:t>
      </w:r>
      <w:r w:rsidRPr="00996655">
        <w:rPr>
          <w:bCs/>
          <w:szCs w:val="28"/>
          <w:lang w:eastAsia="ru-RU"/>
        </w:rPr>
        <w:t>Фондовой биржи РТС</w:t>
      </w:r>
      <w:r w:rsidRPr="00996655">
        <w:rPr>
          <w:szCs w:val="28"/>
          <w:lang w:eastAsia="ru-RU"/>
        </w:rPr>
        <w:t xml:space="preserve"> предназначенная для индикативного котирования ценных бумаг, не допущенных к торгам в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. В </w:t>
      </w: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 можно выставлять котировки по 1780 бумагам 1344эмитентов.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Также в 2001 году начал работу срочный рынок РТС </w:t>
      </w:r>
      <w:r w:rsidRPr="00996655">
        <w:rPr>
          <w:bCs/>
          <w:szCs w:val="28"/>
          <w:lang w:eastAsia="ru-RU"/>
        </w:rPr>
        <w:t>FORTS</w:t>
      </w:r>
      <w:r w:rsidRPr="00996655">
        <w:rPr>
          <w:szCs w:val="28"/>
          <w:lang w:eastAsia="ru-RU"/>
        </w:rPr>
        <w:t xml:space="preserve">. </w:t>
      </w:r>
      <w:r w:rsidRPr="00996655">
        <w:rPr>
          <w:bCs/>
          <w:szCs w:val="28"/>
          <w:lang w:eastAsia="ru-RU"/>
        </w:rPr>
        <w:t>FORTS</w:t>
      </w:r>
      <w:r w:rsidRPr="00996655">
        <w:rPr>
          <w:szCs w:val="28"/>
          <w:lang w:eastAsia="ru-RU"/>
        </w:rPr>
        <w:t xml:space="preserve"> является лидирующей площадкой в России по торговле производными финансовыми инструментами. Использование фьючерсов и опционов предоставляет инвесторам возможность реализовывать различные стратегии: осуществлять спекулятивные операции, хеджировать риски, проводить арбитраж, эффективно управлять портфелем акций с помощью фьючерса на индекс РТС, который в 2007 году стал </w:t>
      </w:r>
      <w:r w:rsidRPr="00996655">
        <w:rPr>
          <w:bCs/>
          <w:szCs w:val="28"/>
          <w:lang w:eastAsia="ru-RU"/>
        </w:rPr>
        <w:t>самым ликвидным инструментом фондового рынка России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23 ноября 2004 года начались торги на б</w:t>
      </w:r>
      <w:r w:rsidRPr="00996655">
        <w:rPr>
          <w:bCs/>
          <w:szCs w:val="28"/>
          <w:lang w:eastAsia="ru-RU"/>
        </w:rPr>
        <w:t>иржевом рынке РТС</w:t>
      </w:r>
      <w:r w:rsidRPr="00996655">
        <w:rPr>
          <w:szCs w:val="28"/>
          <w:lang w:eastAsia="ru-RU"/>
        </w:rPr>
        <w:t>. Здесь торги ценными бумагами проводятся в режиме анонимной торговли с использованием принципа непрерывного двойного аукциона встречных заявок, по технологии «поставка против платежа» со 100 % предварительным депонированием активов и расчетами в рублях. Приоритетными направлениями деятельности б</w:t>
      </w:r>
      <w:r w:rsidRPr="00996655">
        <w:rPr>
          <w:bCs/>
          <w:szCs w:val="28"/>
          <w:lang w:eastAsia="ru-RU"/>
        </w:rPr>
        <w:t>иржевого рынка РТС</w:t>
      </w:r>
      <w:r w:rsidRPr="00996655">
        <w:rPr>
          <w:szCs w:val="28"/>
          <w:lang w:eastAsia="ru-RU"/>
        </w:rPr>
        <w:t xml:space="preserve"> являются повышение ликвидности рублевого сегмента рынка ценных бумаг с использованием механизма действенного контроля со стороны широкого круга профессиональных участников рынка ценных бумаг и развитие рынка акций «второго эшелона».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15 ноября 2005 года был запущен режим анонимной электронной торговли. Здесь торгуются наиболее ликвидные акции </w:t>
      </w:r>
      <w:r w:rsidRPr="00996655">
        <w:rPr>
          <w:bCs/>
          <w:szCs w:val="28"/>
          <w:lang w:eastAsia="ru-RU"/>
        </w:rPr>
        <w:t>Классического рынка РТС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В 2007 году начала работу площадка для компаний малой и средней капитализации </w:t>
      </w:r>
      <w:r w:rsidRPr="00996655">
        <w:rPr>
          <w:bCs/>
          <w:szCs w:val="28"/>
          <w:lang w:eastAsia="ru-RU"/>
        </w:rPr>
        <w:t>RTS START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Открытое акционерное общество «Фондовая биржа РТС»</w:t>
      </w:r>
      <w:r w:rsidRPr="00996655">
        <w:rPr>
          <w:szCs w:val="28"/>
          <w:lang w:eastAsia="ru-RU"/>
        </w:rPr>
        <w:t xml:space="preserve"> единственная биржевая площадка в России, существующая в форме ОАО, и акции которой свободно обращаются на рынке.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2" w:name=".D0.A0.D1.8B.D0.BD.D0.BA.D0.B8_.D0.A0.D0"/>
      <w:bookmarkEnd w:id="2"/>
      <w:r w:rsidRPr="00996655">
        <w:rPr>
          <w:bCs/>
          <w:szCs w:val="28"/>
          <w:lang w:eastAsia="ru-RU"/>
        </w:rPr>
        <w:t>Рынки РТС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3" w:name=".D0.9A.D0.BB.D0.B0.D1.81.D1.81.D0.B8.D1."/>
      <w:bookmarkEnd w:id="3"/>
      <w:r w:rsidRPr="00996655">
        <w:rPr>
          <w:bCs/>
          <w:szCs w:val="28"/>
          <w:lang w:eastAsia="ru-RU"/>
        </w:rPr>
        <w:t>Классический рынок акций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Классический рынок РТС</w:t>
      </w:r>
      <w:r w:rsidRPr="00996655">
        <w:rPr>
          <w:szCs w:val="28"/>
          <w:lang w:eastAsia="ru-RU"/>
        </w:rPr>
        <w:t xml:space="preserve"> — старейший организованный рынок ценных бумаг России. Начал работу 5 июля 1995 года. Тогда участники торгов, обладавшие терминалами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>, могли выставлять котировки по российским акциям и по телефону договариваться о заключении и исполнении сделки. Сегодня основные принципы торговли на Классическом рынке — отсутствие 100 % предварительного депонирования, выбор даты и способа расчетов, возможность расчетов в иностранной валюте. Здесь не требуется предварительного перевода на торги ценных бумаг и денежных средств, что обеспечивает высокую эффективность операций.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На сегодняшний день на </w:t>
      </w:r>
      <w:r w:rsidRPr="00996655">
        <w:rPr>
          <w:bCs/>
          <w:szCs w:val="28"/>
          <w:lang w:eastAsia="ru-RU"/>
        </w:rPr>
        <w:t>Классическом рынке РТС</w:t>
      </w:r>
      <w:r w:rsidRPr="00996655">
        <w:rPr>
          <w:szCs w:val="28"/>
          <w:lang w:eastAsia="ru-RU"/>
        </w:rPr>
        <w:t xml:space="preserve"> представлен широкий спектр ценных бумаг — более </w:t>
      </w:r>
      <w:r w:rsidRPr="00996655">
        <w:rPr>
          <w:bCs/>
          <w:szCs w:val="28"/>
          <w:lang w:eastAsia="ru-RU"/>
        </w:rPr>
        <w:t>540 акции</w:t>
      </w:r>
      <w:r w:rsidRPr="00996655">
        <w:rPr>
          <w:szCs w:val="28"/>
          <w:lang w:eastAsia="ru-RU"/>
        </w:rPr>
        <w:t>, облигаций и инвестиционных паев. Биржа активно развивает технологии торгов, создавая условия для повышения доходности и эффективности проводимых операций участниками рынка.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Так, наиболее существенным событием для всего организованного рынка ценных бумаг России в 2007 году стало внедрение в эксплуатацию технологии заключения сделок через </w:t>
      </w:r>
      <w:r w:rsidRPr="00996655">
        <w:rPr>
          <w:bCs/>
          <w:szCs w:val="28"/>
          <w:lang w:eastAsia="ru-RU"/>
        </w:rPr>
        <w:t>Центрального контрагента</w:t>
      </w:r>
      <w:r w:rsidRPr="00996655">
        <w:rPr>
          <w:szCs w:val="28"/>
          <w:lang w:eastAsia="ru-RU"/>
        </w:rPr>
        <w:t xml:space="preserve">. Данная технология используется в Режиме электронной торговли Классического рынка и в Режиме торговли с полным предварительным депонированием активов Биржевого рынка. РТС стала первой биржей в России, запустившей технологию </w:t>
      </w:r>
      <w:r w:rsidRPr="00996655">
        <w:rPr>
          <w:bCs/>
          <w:szCs w:val="28"/>
          <w:lang w:eastAsia="ru-RU"/>
        </w:rPr>
        <w:t>Центрального контрагента</w:t>
      </w:r>
      <w:r w:rsidRPr="00996655">
        <w:rPr>
          <w:szCs w:val="28"/>
          <w:lang w:eastAsia="ru-RU"/>
        </w:rPr>
        <w:t xml:space="preserve"> по сделке, которая широко используется ведущими биржевыми площадками во всем мире.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В 2008 году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 стала первой биржевой площадкой России, запустившей </w:t>
      </w:r>
      <w:r w:rsidRPr="00996655">
        <w:rPr>
          <w:bCs/>
          <w:szCs w:val="28"/>
          <w:lang w:eastAsia="ru-RU"/>
        </w:rPr>
        <w:t>неттинг</w:t>
      </w:r>
      <w:r w:rsidRPr="00996655">
        <w:rPr>
          <w:szCs w:val="28"/>
          <w:lang w:eastAsia="ru-RU"/>
        </w:rPr>
        <w:t xml:space="preserve"> в режиме торгов без 100% предварительного депонирования. Введение </w:t>
      </w:r>
      <w:r w:rsidRPr="00996655">
        <w:rPr>
          <w:bCs/>
          <w:szCs w:val="28"/>
          <w:lang w:eastAsia="ru-RU"/>
        </w:rPr>
        <w:t>неттинга</w:t>
      </w:r>
      <w:r w:rsidRPr="00996655">
        <w:rPr>
          <w:szCs w:val="28"/>
          <w:lang w:eastAsia="ru-RU"/>
        </w:rPr>
        <w:t xml:space="preserve"> привело к снижению общих затрат участников рынка при проведении операций, позволило упростить расчеты по сделкам и повысить эффективность работы в целом. Кроме того, уникальная для российского рынка технология </w:t>
      </w:r>
      <w:r w:rsidRPr="00996655">
        <w:rPr>
          <w:bCs/>
          <w:szCs w:val="28"/>
          <w:lang w:eastAsia="ru-RU"/>
        </w:rPr>
        <w:t>неттинга</w:t>
      </w:r>
      <w:r w:rsidRPr="00996655">
        <w:rPr>
          <w:szCs w:val="28"/>
          <w:lang w:eastAsia="ru-RU"/>
        </w:rPr>
        <w:t xml:space="preserve"> существенно облегчила работу бэк-офисов участников и позволила брокерам предлагать своим клиентам более выгодные условия обслуживания на рынке российских акций. Важным следствием введения </w:t>
      </w:r>
      <w:r w:rsidRPr="00996655">
        <w:rPr>
          <w:bCs/>
          <w:szCs w:val="28"/>
          <w:lang w:eastAsia="ru-RU"/>
        </w:rPr>
        <w:t>неттинга</w:t>
      </w:r>
      <w:r w:rsidRPr="00996655">
        <w:rPr>
          <w:szCs w:val="28"/>
          <w:lang w:eastAsia="ru-RU"/>
        </w:rPr>
        <w:t xml:space="preserve"> стало создание конкурентных преимуществ для брокеров, предоставляющих прямой доступ к данному режиму торгов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 своим клиентам, как резидентам, так и нерезидентам с помощью систем интернет-трейдинга.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4" w:name=".D0.A0.D1.8B.D0.BD.D0.BE.D0.BA_.D1.84.D1"/>
      <w:bookmarkEnd w:id="4"/>
      <w:r w:rsidRPr="00996655">
        <w:rPr>
          <w:bCs/>
          <w:szCs w:val="28"/>
          <w:lang w:eastAsia="ru-RU"/>
        </w:rPr>
        <w:t>Рынок фьючерсов и опционов FORTS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Срочный рынок </w:t>
      </w:r>
      <w:r w:rsidRPr="00996655">
        <w:rPr>
          <w:bCs/>
          <w:szCs w:val="28"/>
          <w:lang w:eastAsia="ru-RU"/>
        </w:rPr>
        <w:t>FORTS</w:t>
      </w:r>
      <w:r w:rsidRPr="00996655">
        <w:rPr>
          <w:szCs w:val="28"/>
          <w:lang w:eastAsia="ru-RU"/>
        </w:rPr>
        <w:t xml:space="preserve"> – лидирующая площадка по торговле фьючерсами и опционами в России и Восточной Европе, а также один из крупнейших рынков в мире по торговле производными финансовыми инструментами. Согласно данным одной из курпнейших независимых деривативных ассоциаций </w:t>
      </w:r>
      <w:r w:rsidRPr="00996655">
        <w:rPr>
          <w:bCs/>
          <w:szCs w:val="28"/>
          <w:lang w:eastAsia="ru-RU"/>
        </w:rPr>
        <w:t>Futures Industry Association</w:t>
      </w:r>
      <w:r w:rsidRPr="00996655">
        <w:rPr>
          <w:szCs w:val="28"/>
          <w:lang w:eastAsia="ru-RU"/>
        </w:rPr>
        <w:t xml:space="preserve"> за первое полугодие 2008 года, рынок фьючерсов и опционов </w:t>
      </w:r>
      <w:r w:rsidRPr="00996655">
        <w:rPr>
          <w:bCs/>
          <w:szCs w:val="28"/>
          <w:lang w:eastAsia="ru-RU"/>
        </w:rPr>
        <w:t>FORTS</w:t>
      </w:r>
      <w:r w:rsidRPr="00996655">
        <w:rPr>
          <w:szCs w:val="28"/>
          <w:lang w:eastAsia="ru-RU"/>
        </w:rPr>
        <w:t xml:space="preserve"> находится на 15-ом месте по объему торгов среди всех бирж мира.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В настоящий момент на рынке </w:t>
      </w:r>
      <w:r w:rsidRPr="00996655">
        <w:rPr>
          <w:bCs/>
          <w:szCs w:val="28"/>
          <w:lang w:eastAsia="ru-RU"/>
        </w:rPr>
        <w:t>FORTS</w:t>
      </w:r>
      <w:r w:rsidRPr="00996655">
        <w:rPr>
          <w:szCs w:val="28"/>
          <w:lang w:eastAsia="ru-RU"/>
        </w:rPr>
        <w:t xml:space="preserve"> обращаются фьючерсы и опционы, базовыми активами которых являются: индекс РТС</w:t>
      </w:r>
      <w:r w:rsidRPr="00996655">
        <w:rPr>
          <w:bCs/>
          <w:szCs w:val="28"/>
          <w:lang w:eastAsia="ru-RU"/>
        </w:rPr>
        <w:t>,</w:t>
      </w:r>
      <w:r w:rsidRPr="00996655">
        <w:rPr>
          <w:szCs w:val="28"/>
          <w:lang w:eastAsia="ru-RU"/>
        </w:rPr>
        <w:t xml:space="preserve"> отраслевые индексы, акции и облигации российских эмитентов, облигации федерального займа, иностранная валюта, средняя ставка однодневного кредита и ставка трёхмесячного кредита</w:t>
      </w:r>
      <w:r w:rsidRPr="00996655">
        <w:rPr>
          <w:bCs/>
          <w:szCs w:val="28"/>
          <w:lang w:eastAsia="ru-RU"/>
        </w:rPr>
        <w:t>,</w:t>
      </w:r>
      <w:r w:rsidRPr="00996655">
        <w:rPr>
          <w:szCs w:val="28"/>
          <w:lang w:eastAsia="ru-RU"/>
        </w:rPr>
        <w:t xml:space="preserve"> а также товары - нефть, дизельное топливо, золото, серебро, сахар.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5" w:name="RTS_Board"/>
      <w:bookmarkEnd w:id="5"/>
      <w:r w:rsidRPr="00996655">
        <w:rPr>
          <w:bCs/>
          <w:szCs w:val="28"/>
          <w:lang w:eastAsia="ru-RU"/>
        </w:rPr>
        <w:t>RTS Board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 — информационная система </w:t>
      </w:r>
      <w:r w:rsidRPr="00996655">
        <w:rPr>
          <w:bCs/>
          <w:szCs w:val="28"/>
          <w:lang w:eastAsia="ru-RU"/>
        </w:rPr>
        <w:t>Фондовая биржа РТС</w:t>
      </w:r>
      <w:r w:rsidRPr="00996655">
        <w:rPr>
          <w:szCs w:val="28"/>
          <w:lang w:eastAsia="ru-RU"/>
        </w:rPr>
        <w:t xml:space="preserve"> предназначенная для индикативного котирования ценных бумаг, не допущенных к торгам в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. Система была запущена в эксплуатацию 15 февраля </w:t>
      </w:r>
      <w:smartTag w:uri="urn:schemas-microsoft-com:office:smarttags" w:element="metricconverter">
        <w:smartTagPr>
          <w:attr w:name="ProductID" w:val="2001 г"/>
        </w:smartTagPr>
        <w:r w:rsidRPr="00996655">
          <w:rPr>
            <w:szCs w:val="28"/>
            <w:lang w:eastAsia="ru-RU"/>
          </w:rPr>
          <w:t>2001 г</w:t>
        </w:r>
      </w:smartTag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В соответствии с утвержденным Советом директоров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 «Порядком формирования списка инструментов информационной системы </w:t>
      </w: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 в систему могут быть включены акции, облигации, инвестиционные паи, ценные бумаги, выпущенные российскиим и иностранными эмитентами.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С точки зрения эмитентов система </w:t>
      </w: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 – простой и эффективный инструмент первоначального повышения ликвидности ценных бумаг, задача которого обратить внимание инвесторов на перспективные ценные бумаги.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Таким образом, у эмитентов появляется возможность «представлять» свои ценные бумаги профессиональному инвестиционному сообществу, с целью их дальнейшего продвижения, а также вывода в биржевые торги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На данный момент </w:t>
      </w: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 является лидером в России по количеству котирующихся в ней ценных бумаг. В нее включено 1780 ценных бумаг 1344 эмитентов.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В 2007 году 61 ценная бумага 50 эмитентов были переведены в основные торги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 на </w:t>
      </w:r>
      <w:r w:rsidRPr="00996655">
        <w:rPr>
          <w:bCs/>
          <w:szCs w:val="28"/>
          <w:lang w:eastAsia="ru-RU"/>
        </w:rPr>
        <w:t>Классический</w:t>
      </w:r>
      <w:r w:rsidRPr="00996655">
        <w:rPr>
          <w:szCs w:val="28"/>
          <w:lang w:eastAsia="ru-RU"/>
        </w:rPr>
        <w:t xml:space="preserve"> и </w:t>
      </w:r>
      <w:r w:rsidRPr="00996655">
        <w:rPr>
          <w:bCs/>
          <w:szCs w:val="28"/>
          <w:lang w:eastAsia="ru-RU"/>
        </w:rPr>
        <w:t>Биржевой</w:t>
      </w:r>
      <w:r w:rsidRPr="00996655">
        <w:rPr>
          <w:szCs w:val="28"/>
          <w:lang w:eastAsia="ru-RU"/>
        </w:rPr>
        <w:t xml:space="preserve"> рынки.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6" w:name="RTS_START"/>
      <w:bookmarkEnd w:id="6"/>
      <w:r w:rsidRPr="00996655">
        <w:rPr>
          <w:bCs/>
          <w:szCs w:val="28"/>
          <w:lang w:eastAsia="ru-RU"/>
        </w:rPr>
        <w:t>RTS START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30 января 2007 года начала работу площадка для компаний малой и средней капитализации </w:t>
      </w:r>
      <w:r w:rsidRPr="00996655">
        <w:rPr>
          <w:bCs/>
          <w:szCs w:val="28"/>
          <w:lang w:eastAsia="ru-RU"/>
        </w:rPr>
        <w:t>RTS START</w:t>
      </w:r>
      <w:r w:rsidRPr="00996655">
        <w:rPr>
          <w:szCs w:val="28"/>
          <w:lang w:eastAsia="ru-RU"/>
        </w:rPr>
        <w:t>. Проект призван способствовать допуску ценных бумаг эмитентов малой и средней капитализации к торгам в процессе размещения и/или обращения.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RTS START</w:t>
      </w:r>
      <w:r w:rsidRPr="00996655">
        <w:rPr>
          <w:szCs w:val="28"/>
          <w:lang w:eastAsia="ru-RU"/>
        </w:rPr>
        <w:t xml:space="preserve"> является сегментом основных торгов биржевого рынка ценных бумаг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, в котором к ценным бумагам и их эмитентам, помимо основных условий, предъявляется еще ряд требований, направленных на защиту прав и законных интересов инвесторов. Ценные бумаги эмитента, включаемые в сегмент </w:t>
      </w:r>
      <w:r w:rsidRPr="00996655">
        <w:rPr>
          <w:bCs/>
          <w:szCs w:val="28"/>
          <w:lang w:eastAsia="ru-RU"/>
        </w:rPr>
        <w:t>RTS START</w:t>
      </w:r>
      <w:r w:rsidRPr="00996655">
        <w:rPr>
          <w:szCs w:val="28"/>
          <w:lang w:eastAsia="ru-RU"/>
        </w:rPr>
        <w:t xml:space="preserve">, одновременно допускаются к торгам в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RTS START</w:t>
      </w:r>
      <w:r w:rsidRPr="00996655">
        <w:rPr>
          <w:szCs w:val="28"/>
          <w:lang w:eastAsia="ru-RU"/>
        </w:rPr>
        <w:t> — новое направление в развитии российского фондового рынка, которое оказывает позитивное воздействие на формирование класса организаторов IPO, специализирующихся на проведении размещений компаний малой и средней капитализации, а также придает дополнительный импульс становлению класса инвесторов, ориентированных на инвестирование в ценные бумаги небольших быстрорастущих компаний.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Создание и развитие сегмента </w:t>
      </w:r>
      <w:r w:rsidRPr="00996655">
        <w:rPr>
          <w:bCs/>
          <w:szCs w:val="28"/>
          <w:lang w:eastAsia="ru-RU"/>
        </w:rPr>
        <w:t>RTS START</w:t>
      </w:r>
      <w:r w:rsidRPr="00996655">
        <w:rPr>
          <w:szCs w:val="28"/>
          <w:lang w:eastAsia="ru-RU"/>
        </w:rPr>
        <w:t xml:space="preserve"> позволит российским компаниям небольшой капитализации привлекать необходимые инвестиции, используя механизмы программ внешнего финансирования и биржевой инфраструктуры рынка ценных бумаг.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7" w:name="RTS_Global"/>
      <w:bookmarkEnd w:id="7"/>
      <w:r w:rsidRPr="00996655">
        <w:rPr>
          <w:bCs/>
          <w:szCs w:val="28"/>
          <w:lang w:eastAsia="ru-RU"/>
        </w:rPr>
        <w:t>RTS Global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RTS Global</w:t>
      </w:r>
      <w:r w:rsidRPr="00996655">
        <w:rPr>
          <w:szCs w:val="28"/>
          <w:lang w:eastAsia="ru-RU"/>
        </w:rPr>
        <w:t xml:space="preserve"> — новый, не имеющий аналогов в России проект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. </w:t>
      </w:r>
      <w:r w:rsidRPr="00996655">
        <w:rPr>
          <w:bCs/>
          <w:szCs w:val="28"/>
          <w:lang w:eastAsia="ru-RU"/>
        </w:rPr>
        <w:t>RTS Global</w:t>
      </w:r>
      <w:r w:rsidRPr="00996655">
        <w:rPr>
          <w:szCs w:val="28"/>
          <w:lang w:eastAsia="ru-RU"/>
        </w:rPr>
        <w:t xml:space="preserve"> позволяет российским инвесторам получать простой и эффективный доступ к иностранным ценным бумагам. Это предполагает возможность выставления индикативных котировок по иностранным ценным бумагам, заключение внебиржевых сделок с использованием технологий Центра электронных договоров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 (ЦЭД), а также расчеты по сделкам с иностранными ценными бумагами.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Формирование внебиржевого российского рынка иностранных ценных бумаг призвано значительно расширить возможности участников фондового рынка России путем качественного дополнения инвестиционного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портфеля новыми финансовыми инструментами и открыть для зарубежных эмитентов новые перспективные финансовые рынки.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RTS Global</w:t>
      </w:r>
      <w:r w:rsidRPr="00996655">
        <w:rPr>
          <w:szCs w:val="28"/>
          <w:lang w:eastAsia="ru-RU"/>
        </w:rPr>
        <w:t xml:space="preserve"> реализован на базе технологий информационной системы индикативных котировок — </w:t>
      </w:r>
      <w:r w:rsidRPr="00996655">
        <w:rPr>
          <w:bCs/>
          <w:szCs w:val="28"/>
          <w:lang w:eastAsia="ru-RU"/>
        </w:rPr>
        <w:t>RTS Board</w:t>
      </w:r>
      <w:r w:rsidRPr="00996655">
        <w:rPr>
          <w:szCs w:val="28"/>
          <w:lang w:eastAsia="ru-RU"/>
        </w:rPr>
        <w:t xml:space="preserve">, являющейся лидером в России по количеству котирующихся в ней ценных бумаг. Вся ценовая информация по каждой из бумаг постоянно обновляется в режиме реального времени на сайте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8" w:name=".D0.94.D0.B5.D0.BF.D0.BE.D0.B7.D0.B8.D1."/>
      <w:bookmarkEnd w:id="8"/>
      <w:r w:rsidRPr="00996655">
        <w:rPr>
          <w:bCs/>
          <w:szCs w:val="28"/>
          <w:lang w:eastAsia="ru-RU"/>
        </w:rPr>
        <w:t>Депозитарные услуги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Закрытое Акционерное Общество </w:t>
      </w:r>
      <w:r w:rsidRPr="00996655">
        <w:rPr>
          <w:bCs/>
          <w:szCs w:val="28"/>
          <w:lang w:eastAsia="ru-RU"/>
        </w:rPr>
        <w:t>«Депозитарно-Клиринговая Компания»</w:t>
      </w:r>
      <w:r w:rsidRPr="00996655">
        <w:rPr>
          <w:szCs w:val="28"/>
          <w:lang w:eastAsia="ru-RU"/>
        </w:rPr>
        <w:t xml:space="preserve"> является ключевым элементом инфраструктуры российского рынка ценных бумаг. </w:t>
      </w:r>
      <w:r w:rsidRPr="00996655">
        <w:rPr>
          <w:bCs/>
          <w:szCs w:val="28"/>
          <w:lang w:eastAsia="ru-RU"/>
        </w:rPr>
        <w:t>ДКК</w:t>
      </w:r>
      <w:r w:rsidRPr="00996655">
        <w:rPr>
          <w:szCs w:val="28"/>
          <w:lang w:eastAsia="ru-RU"/>
        </w:rPr>
        <w:t xml:space="preserve"> входит в группу </w:t>
      </w:r>
      <w:r w:rsidRPr="00996655">
        <w:rPr>
          <w:bCs/>
          <w:szCs w:val="28"/>
          <w:lang w:eastAsia="ru-RU"/>
        </w:rPr>
        <w:t>РТС</w:t>
      </w:r>
      <w:r w:rsidRPr="00996655">
        <w:rPr>
          <w:szCs w:val="28"/>
          <w:lang w:eastAsia="ru-RU"/>
        </w:rPr>
        <w:t xml:space="preserve"> и является крупнейшим российским расчетным депозитарием по акциям.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ЗАО «ДКК»</w:t>
      </w:r>
      <w:r w:rsidRPr="00996655">
        <w:rPr>
          <w:szCs w:val="28"/>
          <w:lang w:eastAsia="ru-RU"/>
        </w:rPr>
        <w:t xml:space="preserve"> было создано в октябре 1993 года для оказания услуг в сфере депозитарной деятельности. В 1996 году компания получила лицензию на осуществление депозитарной и клиринговой деятельности в качестве расчетно-депозитарной организации. Основной сферой деятельности компании в настоящее время является оказание следующих услуг: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учет и хранение ценных бумаг;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клиринг и расчеты на рынке ценных бумаг;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>содействие в осуществлении корпоративных действий.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szCs w:val="28"/>
          <w:lang w:eastAsia="ru-RU"/>
        </w:rPr>
        <w:t xml:space="preserve">Основным объектом хранения </w:t>
      </w:r>
      <w:r w:rsidRPr="00996655">
        <w:rPr>
          <w:bCs/>
          <w:szCs w:val="28"/>
          <w:lang w:eastAsia="ru-RU"/>
        </w:rPr>
        <w:t>ДКК</w:t>
      </w:r>
      <w:r w:rsidRPr="00996655">
        <w:rPr>
          <w:szCs w:val="28"/>
          <w:lang w:eastAsia="ru-RU"/>
        </w:rPr>
        <w:t xml:space="preserve"> являются корпоративные акции и облигации. С 2003 года компания работает с паями паевых инвестиционных фондов, с 2006 — с еврооблигациями, американскими и глобальными депозитарными расписками.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bCs/>
          <w:szCs w:val="28"/>
          <w:lang w:eastAsia="ru-RU"/>
        </w:rPr>
      </w:pPr>
      <w:bookmarkStart w:id="9" w:name=".D0.9A.D0.BB.D0.B8.D1.80.D0.B8.D0.BD.D0."/>
      <w:bookmarkEnd w:id="9"/>
      <w:r w:rsidRPr="00996655">
        <w:rPr>
          <w:bCs/>
          <w:szCs w:val="28"/>
          <w:lang w:eastAsia="ru-RU"/>
        </w:rPr>
        <w:t>Клиринг в РТС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ЗАО «Клиринговый центр РТС»</w:t>
      </w:r>
      <w:r w:rsidRPr="00996655">
        <w:rPr>
          <w:szCs w:val="28"/>
          <w:lang w:eastAsia="ru-RU"/>
        </w:rPr>
        <w:t xml:space="preserve"> осуществляет клиринг на </w:t>
      </w:r>
      <w:r w:rsidRPr="00996655">
        <w:rPr>
          <w:bCs/>
          <w:szCs w:val="28"/>
          <w:lang w:eastAsia="ru-RU"/>
        </w:rPr>
        <w:t>Срочном рынке FORTS</w:t>
      </w:r>
      <w:r w:rsidRPr="00996655">
        <w:rPr>
          <w:szCs w:val="28"/>
          <w:lang w:eastAsia="ru-RU"/>
        </w:rPr>
        <w:t xml:space="preserve"> и на </w:t>
      </w:r>
      <w:r w:rsidRPr="00996655">
        <w:rPr>
          <w:bCs/>
          <w:szCs w:val="28"/>
          <w:lang w:eastAsia="ru-RU"/>
        </w:rPr>
        <w:t>Фондовом рынке РТС</w:t>
      </w:r>
      <w:r w:rsidRPr="00996655">
        <w:rPr>
          <w:szCs w:val="28"/>
          <w:lang w:eastAsia="ru-RU"/>
        </w:rPr>
        <w:t>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КЦ РТС</w:t>
      </w:r>
      <w:r w:rsidRPr="00996655">
        <w:rPr>
          <w:szCs w:val="28"/>
          <w:lang w:eastAsia="ru-RU"/>
        </w:rPr>
        <w:t xml:space="preserve"> является одной из самых капитализированных клиринговых организаций в России. За время функционирования система управления рисками </w:t>
      </w:r>
      <w:r w:rsidRPr="00996655">
        <w:rPr>
          <w:bCs/>
          <w:szCs w:val="28"/>
          <w:lang w:eastAsia="ru-RU"/>
        </w:rPr>
        <w:t>Клирингового центра РТС</w:t>
      </w:r>
      <w:r w:rsidRPr="00996655">
        <w:rPr>
          <w:szCs w:val="28"/>
          <w:lang w:eastAsia="ru-RU"/>
        </w:rPr>
        <w:t xml:space="preserve"> не раз подтверждала свою надежность.</w:t>
      </w:r>
    </w:p>
    <w:p w:rsidR="00EA26A3" w:rsidRPr="00996655" w:rsidRDefault="00EA26A3" w:rsidP="00996655">
      <w:pPr>
        <w:spacing w:line="360" w:lineRule="auto"/>
        <w:ind w:firstLine="709"/>
        <w:jc w:val="both"/>
        <w:rPr>
          <w:szCs w:val="28"/>
          <w:lang w:eastAsia="ru-RU"/>
        </w:rPr>
      </w:pPr>
      <w:r w:rsidRPr="00996655">
        <w:rPr>
          <w:bCs/>
          <w:szCs w:val="28"/>
          <w:lang w:eastAsia="ru-RU"/>
        </w:rPr>
        <w:t>Клиринговый центр РТС</w:t>
      </w:r>
      <w:r w:rsidRPr="00996655">
        <w:rPr>
          <w:szCs w:val="28"/>
          <w:lang w:eastAsia="ru-RU"/>
        </w:rPr>
        <w:t xml:space="preserve"> обеспечивает высокий уровень гарантий участникам сделок во многом благодаря прогрессивной системе формирования гарантийного фонда.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</w:p>
    <w:p w:rsidR="00AE4083" w:rsidRPr="00996655" w:rsidRDefault="00AE4083" w:rsidP="00996655">
      <w:pPr>
        <w:spacing w:line="360" w:lineRule="auto"/>
        <w:ind w:firstLine="709"/>
        <w:jc w:val="center"/>
        <w:rPr>
          <w:b/>
          <w:szCs w:val="28"/>
        </w:rPr>
      </w:pPr>
      <w:bookmarkStart w:id="10" w:name="_Toc215508530"/>
      <w:r w:rsidRPr="00996655">
        <w:rPr>
          <w:b/>
          <w:szCs w:val="28"/>
        </w:rPr>
        <w:t>2. Российский рынок облигаций частных эмитентов</w:t>
      </w:r>
      <w:bookmarkEnd w:id="10"/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</w:p>
    <w:p w:rsidR="009B00AB" w:rsidRPr="00996655" w:rsidRDefault="009B00A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 xml:space="preserve">В настоящее время </w:t>
      </w:r>
      <w:r w:rsidRPr="00996655">
        <w:rPr>
          <w:bCs/>
          <w:szCs w:val="28"/>
        </w:rPr>
        <w:t>корпоративные облигации</w:t>
      </w:r>
      <w:r w:rsidRPr="00996655">
        <w:rPr>
          <w:szCs w:val="28"/>
        </w:rPr>
        <w:t xml:space="preserve"> в России являются одним из самых динамично развивающихся секторов фондового рынка. Причем выпуск облигаций активно используют не только крупные, но и небольшие, и средние предприятия. Эмиссия собственных ценных бумаг сделалась для них особенно актуальной после отмены с 2002 года всех льгот по уплате налога на прибыль.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 современных развитых странах облигационная масса корпораций составляет, как правило, от 10-15 до 60-65% общих объемов эмиссий корпоративных ценных бумаг, что свидетельствует о важной роли облигаций как альтернативного источника инвестиций.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Облигацией (согласно статье 816 Гражданского Кодекса РФ) признается ценная бумага, удостоверяющая право ее держателя на получение от лица, выпустившего облигацию, в предусмотренный ею срок, номинальной стоимости облигации или имущественного эквивалента.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Облигации, выпущенные акционерными обществами, называются корпоративными облигациями.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Главное достоинство облигации состоит в том, что она является наиболее действенным и эффективным инструментом, позволяющим, не перераспределяя собственность, аккумулировать средства инвесторов и обеспечить предприятиям доступ на рынок капиталов.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 этом своем качестве облигация удостоверяет: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факт предоставления владельцем ценной бумаги денежных средств эмитенту (корпорации);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обязательство эмитента вернуть держателю облигации по истечении оговоренного срока сумму, которую эмитент получил при выпуске данной бумаги (т.е. вернуть сумму долга);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обязательство эмитента выплачивать держателю облигации фиксированный доход в виде процента от номинальной стоимости.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Эмиссия облигаций – это удобный способ мобилизации капитальных фондов, содержащий ряд привлекательных черт для корпораций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Основными преимуществами облигационного займа с точки зрения организации-эмитента являются: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возможность мобилизации значительных объемов денежных средств и финансирования крупномасштабных инвестиционных проектов и программ на экономически выгодных условиях без угрозы вмешательства инвесторов (владельцев облигаций) в управление его текущей финансово-хозяйственной деятельностью;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возможность маневрирования при определении характеристик выпуска: все параметры облигационного займа (объем эмиссии, процентная ставка, сроки, условия обращения и погашения и т.д.) определяются эмитентом самостоятельно с учетом характера осуществляемых за счет привлекаемых средств инвестиционного проекта;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возможность аккумулирования денежных средств частных инвесторов (населения), привлечения финансовых ресурсов юридических лиц на достаточно длительный срок (продолжительнее срока кредитов, предоставляемых коммерческими банками) и на более выгодных условиях с учетом реальной экономической обстановки и состояния финансового рынка;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обеспечение оптимального сочетания уровня доходности для инвесторов. С одной стороны, и уровня затрат предприятия-эмитента на подготовку и обслуживание облигационного займа, с другой стороны;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оптимизация взаиморасчетов, структуры дебиторской и кредиторской задолженности предприятия.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 то</w:t>
      </w:r>
      <w:r w:rsidR="00F74AF3" w:rsidRPr="00996655">
        <w:rPr>
          <w:szCs w:val="28"/>
        </w:rPr>
        <w:t xml:space="preserve"> </w:t>
      </w:r>
      <w:r w:rsidRPr="00996655">
        <w:rPr>
          <w:szCs w:val="28"/>
        </w:rPr>
        <w:t>же время облигация –долговое обязательство: осуществляя эмиссию облигаций, эмитент несет определенные риски, и всегда существует вероятность того, что облигационный заем не будет успешным, т.е. сам факт эмиссии облигаций еще не гарантирует их размещения на разработанных эмитентом условиях.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 связи с этим, рассматривая финансовые возможности облигаций, следует учитывать противоречивый характер интересов эмитента и инвесторов. Поэтому при организации облигационных займов в процессе конструирования ценных бумаг важно уметь найти «золотую середину», обеспечить баланс этих интересов на основе комплексного анализа преимуществ и недостатков данного финансового инструмента.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Как и любая ценная бумага, облигация продается и покупается на организованном рынке – рынке ценных бумаг. Он является важной составной частью как денежного потока, так и рынка капиталов, который в свою очередь составляет финансовый рынок.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Цель функционирования рынка ценных бумаг состоит в том, чтобы обеспечить наличие механизма для привлечения инвестиций в экономику путем установления необходимых контактов между теми, которые нуждаются средства, и теми, кто хотел бы инвестировать избыточный доход. При этом очень важно, чтобы рынок ценных бумаг обеспечил наличие механизма, способствующего эффективной передаче инвестиций (в виде ценных бумаг) из рук в руки, причем такая передача должна иметь юридическую силу.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Первичный рынок – термин, который описывает те случаи, когда ценная бумага впервые появилась на публичной арене обычно в обмен на денежные средства.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Вторичный рынок – термин, который описывает случаи, когда вторые и последующие транши находящихся в обращении ценных бумаг появляются на публичной арене.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bCs/>
          <w:szCs w:val="28"/>
        </w:rPr>
        <w:t>Классификация корпоративных облигаций.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Корпоративные облигации, обращающиеся на российском рынке, условно можно разделить на три основные группы: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среднесрочные валютно-индексированные облигации (срок обращения 2-5 лет);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краткосрочные (3-9- месяцев);</w:t>
      </w:r>
    </w:p>
    <w:p w:rsidR="003718BB" w:rsidRPr="00996655" w:rsidRDefault="003718B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небольшие займы региональных компаний, предусматривающие плавающую ставку процента, обычно привязанную к ставке рефинансирования Центрального Банка России или ставкам по депозитным счетам Сбербанка РФ.</w:t>
      </w:r>
    </w:p>
    <w:p w:rsidR="009B00AB" w:rsidRPr="00996655" w:rsidRDefault="009B00A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Статистика утверждает, что к использованию облигационных займов обычно прибегают следующие фирмы:</w:t>
      </w:r>
    </w:p>
    <w:p w:rsidR="009B00AB" w:rsidRPr="00996655" w:rsidRDefault="009B00A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iCs/>
          <w:szCs w:val="28"/>
        </w:rPr>
        <w:t>компании, имеющие устоявшийся бизнес, высокую репутацию,</w:t>
      </w:r>
      <w:r w:rsidRPr="00996655">
        <w:rPr>
          <w:szCs w:val="28"/>
        </w:rPr>
        <w:t xml:space="preserve"> </w:t>
      </w:r>
      <w:r w:rsidRPr="00996655">
        <w:rPr>
          <w:iCs/>
          <w:szCs w:val="28"/>
        </w:rPr>
        <w:t>и действующие</w:t>
      </w:r>
      <w:r w:rsidRPr="00996655">
        <w:rPr>
          <w:b/>
          <w:iCs/>
          <w:szCs w:val="28"/>
        </w:rPr>
        <w:t xml:space="preserve"> </w:t>
      </w:r>
      <w:r w:rsidRPr="00996655">
        <w:rPr>
          <w:iCs/>
          <w:szCs w:val="28"/>
        </w:rPr>
        <w:t>в условиях большей информационной прозрачности</w:t>
      </w:r>
      <w:r w:rsidRPr="00996655">
        <w:rPr>
          <w:szCs w:val="28"/>
        </w:rPr>
        <w:t>. Если информация о фирме недоступна широкому кругу инвесторов, они могут быть достаточно враждебно настроены к покупке ее облигаций. Преимущества при размещении облигаций имеют предприятия, природа бизнеса которых понятна инвесторам.</w:t>
      </w:r>
    </w:p>
    <w:p w:rsidR="009B00AB" w:rsidRPr="00996655" w:rsidRDefault="009B00A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bCs/>
          <w:iCs/>
          <w:szCs w:val="28"/>
        </w:rPr>
        <w:t>организации,</w:t>
      </w:r>
      <w:r w:rsidRPr="00996655">
        <w:rPr>
          <w:szCs w:val="28"/>
        </w:rPr>
        <w:t xml:space="preserve"> </w:t>
      </w:r>
      <w:r w:rsidRPr="00996655">
        <w:rPr>
          <w:iCs/>
          <w:szCs w:val="28"/>
        </w:rPr>
        <w:t>привлекающие значительный объем финансирования</w:t>
      </w:r>
      <w:r w:rsidRPr="00996655">
        <w:rPr>
          <w:szCs w:val="28"/>
        </w:rPr>
        <w:t>. Обычно предприятие определяет объем заимствований под конкретный инвестиционный проект. Основная причина крупных эмиссий состоит в том, что издержки по выпуску облигаций сокращаются по мере увеличения объема займа, таким образом, проявляется эффект экономии от масштаба.</w:t>
      </w:r>
    </w:p>
    <w:p w:rsidR="009B00AB" w:rsidRPr="00996655" w:rsidRDefault="009B00AB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Вместе с тем, с развитием рынка облигаций наметилась тенденция к выходу на публичный рынок региональных предприятий с небольшими объемами заимствований. При этом основными держателями портфелей облигаций предприятий являются региональные же банки, кроме того, выпуски выкупаются финансовыми компаниями и прочими инвестиционными институтами.</w:t>
      </w:r>
    </w:p>
    <w:p w:rsidR="009B00AB" w:rsidRPr="00996655" w:rsidRDefault="009B00AB" w:rsidP="00996655">
      <w:pPr>
        <w:spacing w:line="360" w:lineRule="auto"/>
        <w:ind w:firstLine="709"/>
        <w:jc w:val="both"/>
        <w:rPr>
          <w:szCs w:val="28"/>
        </w:rPr>
      </w:pPr>
    </w:p>
    <w:p w:rsidR="00AE4083" w:rsidRPr="00996655" w:rsidRDefault="00AE4083" w:rsidP="00996655">
      <w:pPr>
        <w:spacing w:line="360" w:lineRule="auto"/>
        <w:ind w:firstLine="709"/>
        <w:jc w:val="center"/>
        <w:rPr>
          <w:b/>
          <w:szCs w:val="28"/>
        </w:rPr>
      </w:pPr>
      <w:bookmarkStart w:id="11" w:name="_Toc215508531"/>
      <w:r w:rsidRPr="00996655">
        <w:rPr>
          <w:b/>
          <w:szCs w:val="28"/>
        </w:rPr>
        <w:t>3. Проблемы раскрытия информации на российском рынке ценных бумаг</w:t>
      </w:r>
      <w:bookmarkEnd w:id="11"/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Раскрыть информацию - значит обеспечить информационную прозрачность фондового и финансового рынка. Для широкого круга интересующихся это означает возможность быстрого и недорогого получения достоверной и актуальной информации об интересующих их объектах и субъектах рынка. Процесс раскрытия отличается от других действиям по информированию общественности тем, что он зарегулирован - законодательно предписан состав обязательной к раскрытию информации для субъектов рынка и сама процедура раскрытия.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Можно выделить три класса случаев, когда появляется раскрываемая (т.е. обязательная к раскрытию) информация: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получения права работы на рынке (получение лицензии, регистрация эмиссии и др.)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подготовка периодической отчетность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важные события (крупные сделки, смена руководителей, корпоративные события - собрания акционеров, выплата дивидендов и др.)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При этом законодательно зафиксирован состав информации, который должен раскрываться в этих случаях. Перечень раскрываемой информации включает: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общую информацию о компании (юридические реквизиты, структура владения, структура управления и пр.)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общую информацию о хозяйственной деятельности (прибыли/убытки, структура активов, и, баланс)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специфическую (отраслевую) информацию о деятельности, различную для разных групп.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Тенденция состоит в углублении отраслевой специфики раскрываемой информации, и это понятно. У пивоваренного завода показатели производственной деятельности (литры пива в год) заметно отличаются от показателей, к примеру телефонистов (километры кабелей и количество линий). А без этих показателей невозможно принимать осмысленные инвестиционные решения.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Собственно, раскрытие состоит в том, что раскрываемая информация оформляется согласно требованиям регулирующего органа, и раскрыватель применяет к этой информации предписанную процедуру, суть которой состоит в том, что обеспечиваются: своевременность раскрытия информации, аутентификация (раскрытие производит назначенное лицо) и архивация (содержание раскрываемой информации фиксируется способом, не допускающим его изменения в дальнейшем). Эту процедуру будем называть фиксацией. Фиксацию выполняет либо непосредственно регулирующий орган, либо его представитель. При этом проверка достоверности раскрывемой информации не входит в задачу представителя регулятора (в технологическом цикле раскрытия). Но зато впоследствии, если окажется, что раскрытая информация была неверна, раскрывателя можно будет привлечь к ответственности, так как легко будет доказать, что именно он раскрыл именно эту информацию, не соответствовавшую действительности.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color w:val="000000"/>
          <w:szCs w:val="28"/>
          <w:lang w:eastAsia="ru-RU"/>
        </w:rPr>
      </w:pPr>
      <w:r w:rsidRPr="00996655">
        <w:rPr>
          <w:color w:val="000000"/>
          <w:szCs w:val="28"/>
          <w:lang w:eastAsia="ru-RU"/>
        </w:rPr>
        <w:t>Мировая практика показывает, что единственный разумный на сегодняшний день способ доведения раскрываемой информации - это Интернет. Все остальные способы (публикация, читальный зал и т.д.) или слишком дорого обходятся, и (или) сильно ограничивают доступ общественности к «раскрытой» информации. Очевидно, где-то в Интернете должен лежать архив со всей раскрытой информацией, и к нему нужно только уметь формулировать запросы. Класс возможных запросов зависит от организации этого архива.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 xml:space="preserve">В настоящее время существуют проблемы обеспечения достоверности информации, раскрываемой на странице в сети Интернет, возможности установления разных режимов раскрытия информации для публичных компаний и иных эмитентов ценных бумаг, использования рейтинга эмитентов как важного элемента раскрытия информации на рынке ценных бумаг. В этом случае будет </w:t>
      </w:r>
      <w:r w:rsidRPr="00996655">
        <w:rPr>
          <w:bCs/>
          <w:szCs w:val="28"/>
        </w:rPr>
        <w:t>целесообразным проводить мониторинг своевременности раскрытия информации в Интернет и лентах новостей.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bCs/>
          <w:szCs w:val="28"/>
        </w:rPr>
      </w:pPr>
      <w:r w:rsidRPr="00996655">
        <w:rPr>
          <w:bCs/>
          <w:szCs w:val="28"/>
        </w:rPr>
        <w:t>В то же время, необходимо решить проблему противоречия норм различных законодательных актов, регулирующих вопросы раскрытия информации.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bCs/>
          <w:szCs w:val="28"/>
        </w:rPr>
        <w:t>Таким образом, в первую очередь важно</w:t>
      </w:r>
      <w:r w:rsidRPr="00996655">
        <w:rPr>
          <w:szCs w:val="28"/>
        </w:rPr>
        <w:t xml:space="preserve"> своевременное и достоверное раскрытие информации. Также необходимо дальнейшее совершенствование законодательства в этой сфере.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bCs/>
          <w:szCs w:val="28"/>
        </w:rPr>
      </w:pPr>
      <w:r w:rsidRPr="00996655">
        <w:rPr>
          <w:szCs w:val="28"/>
        </w:rPr>
        <w:t>Проблемы в области раскрытия информации на российском рынке ценных бумаг можно</w:t>
      </w:r>
      <w:r w:rsidRPr="00996655">
        <w:rPr>
          <w:bCs/>
          <w:szCs w:val="28"/>
        </w:rPr>
        <w:t xml:space="preserve"> поделить на три категории: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bCs/>
          <w:szCs w:val="28"/>
        </w:rPr>
      </w:pPr>
      <w:r w:rsidRPr="00996655">
        <w:rPr>
          <w:bCs/>
          <w:szCs w:val="28"/>
        </w:rPr>
        <w:t>проблемы, требующие внесения изменений в действующее законодательство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bCs/>
          <w:szCs w:val="28"/>
        </w:rPr>
      </w:pPr>
      <w:r w:rsidRPr="00996655">
        <w:rPr>
          <w:bCs/>
          <w:szCs w:val="28"/>
        </w:rPr>
        <w:t>проблемы, связанные с исполнением требований по раскрытию информации и ответственностью за нарушение таких требований</w:t>
      </w:r>
    </w:p>
    <w:p w:rsidR="00BE0F4A" w:rsidRPr="00996655" w:rsidRDefault="00BE0F4A" w:rsidP="00996655">
      <w:pPr>
        <w:spacing w:line="360" w:lineRule="auto"/>
        <w:ind w:firstLine="709"/>
        <w:jc w:val="both"/>
        <w:rPr>
          <w:bCs/>
          <w:szCs w:val="28"/>
        </w:rPr>
      </w:pPr>
      <w:r w:rsidRPr="00996655">
        <w:rPr>
          <w:bCs/>
          <w:szCs w:val="28"/>
        </w:rPr>
        <w:t>проблемы, связанные с технологией сбора, обработкой, анализа и последующего публичного раскрытия информации регистрирующими органами.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</w:p>
    <w:p w:rsidR="00AE4083" w:rsidRPr="00996655" w:rsidRDefault="00AE4083" w:rsidP="00996655">
      <w:pPr>
        <w:spacing w:line="360" w:lineRule="auto"/>
        <w:ind w:firstLine="709"/>
        <w:jc w:val="center"/>
        <w:rPr>
          <w:b/>
          <w:szCs w:val="28"/>
        </w:rPr>
      </w:pPr>
      <w:r w:rsidRPr="00996655">
        <w:rPr>
          <w:szCs w:val="28"/>
        </w:rPr>
        <w:br w:type="page"/>
      </w:r>
      <w:bookmarkStart w:id="12" w:name="_Toc215508532"/>
      <w:r w:rsidRPr="00996655">
        <w:rPr>
          <w:b/>
          <w:szCs w:val="28"/>
        </w:rPr>
        <w:t>Практическая часть</w:t>
      </w:r>
      <w:bookmarkEnd w:id="12"/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1. Профессиональными участниками рынка ценных бумаг могут быть только: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1) юридические лица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2) юридические и физические лица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3) коммерческие организации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4) некоммерческие организации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5) юридические лица в любой организационно-правовой форме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Ответ: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2. Федеральная служба по финансовым рынкам (ФСФР) не выступает в качестве лицензирующего органа: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1) брокеров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2) дилеров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3) коммерческих банков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4) паевых инвестиционных фондов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5) фондовых бирж</w:t>
      </w:r>
    </w:p>
    <w:p w:rsidR="00AE4083" w:rsidRPr="00996655" w:rsidRDefault="00AE4083" w:rsidP="00996655">
      <w:pPr>
        <w:spacing w:line="360" w:lineRule="auto"/>
        <w:ind w:firstLine="709"/>
        <w:jc w:val="both"/>
        <w:rPr>
          <w:szCs w:val="28"/>
        </w:rPr>
      </w:pPr>
      <w:r w:rsidRPr="00996655">
        <w:rPr>
          <w:szCs w:val="28"/>
        </w:rPr>
        <w:t>Ответ:</w:t>
      </w:r>
    </w:p>
    <w:p w:rsidR="00126E09" w:rsidRPr="00996655" w:rsidRDefault="00996655" w:rsidP="00996655">
      <w:pPr>
        <w:spacing w:line="360" w:lineRule="auto"/>
        <w:ind w:firstLine="709"/>
        <w:jc w:val="center"/>
        <w:rPr>
          <w:b/>
          <w:szCs w:val="28"/>
        </w:rPr>
      </w:pPr>
      <w:bookmarkStart w:id="13" w:name="_Toc215508533"/>
      <w:r>
        <w:rPr>
          <w:b/>
          <w:szCs w:val="28"/>
        </w:rPr>
        <w:br w:type="page"/>
      </w:r>
      <w:r w:rsidR="00126E09" w:rsidRPr="00996655">
        <w:rPr>
          <w:b/>
          <w:szCs w:val="28"/>
        </w:rPr>
        <w:t>Список использованной литературы</w:t>
      </w:r>
      <w:bookmarkEnd w:id="13"/>
    </w:p>
    <w:p w:rsidR="00126E09" w:rsidRPr="00996655" w:rsidRDefault="00126E09" w:rsidP="00996655">
      <w:pPr>
        <w:spacing w:line="360" w:lineRule="auto"/>
        <w:ind w:firstLine="709"/>
        <w:jc w:val="both"/>
        <w:rPr>
          <w:szCs w:val="28"/>
        </w:rPr>
      </w:pPr>
    </w:p>
    <w:p w:rsidR="00126E09" w:rsidRPr="00996655" w:rsidRDefault="00EB0436" w:rsidP="00996655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996655">
        <w:rPr>
          <w:szCs w:val="28"/>
        </w:rPr>
        <w:t>Гражданский кодекс Российской Федерации.</w:t>
      </w:r>
    </w:p>
    <w:p w:rsidR="00EB0436" w:rsidRPr="00996655" w:rsidRDefault="009B00AB" w:rsidP="00996655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996655">
        <w:rPr>
          <w:spacing w:val="-3"/>
          <w:szCs w:val="28"/>
        </w:rPr>
        <w:t>Федеральный закон «О рынке ценных бумаг» от 22.04.1996 №39-ФЗ (с изменениями и дополнениями).</w:t>
      </w:r>
    </w:p>
    <w:p w:rsidR="009B00AB" w:rsidRPr="00996655" w:rsidRDefault="009B00AB" w:rsidP="00996655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996655">
        <w:rPr>
          <w:szCs w:val="28"/>
        </w:rPr>
        <w:t>Григорьева Н., Коковина Л. Фундаментальный анализ фондового рынка. // «Чужие деньги» финансово-аналитическая газета. №33, 2005.</w:t>
      </w:r>
    </w:p>
    <w:p w:rsidR="009B00AB" w:rsidRPr="00996655" w:rsidRDefault="009B00AB" w:rsidP="00996655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996655">
        <w:rPr>
          <w:szCs w:val="28"/>
        </w:rPr>
        <w:t>Лякин А.Н., Лапинскас А.А. Рынок ценных бумаг. СПб., 2001.</w:t>
      </w:r>
    </w:p>
    <w:p w:rsidR="009B53DF" w:rsidRPr="00996655" w:rsidRDefault="009B53DF" w:rsidP="00996655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pacing w:val="-3"/>
          <w:szCs w:val="28"/>
        </w:rPr>
      </w:pPr>
      <w:r w:rsidRPr="00996655">
        <w:rPr>
          <w:spacing w:val="-3"/>
          <w:szCs w:val="28"/>
        </w:rPr>
        <w:t>Рынок ценных бумаг : учебник вузов. / Под ред. В. А. Галанова, А. И. Басова; Рос. экон. акад. им. Г. В. Плеханова М.: Финансы и статистика, 2005.</w:t>
      </w:r>
    </w:p>
    <w:p w:rsidR="009B53DF" w:rsidRPr="00996655" w:rsidRDefault="009B53DF" w:rsidP="00996655">
      <w:pPr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rPr>
          <w:szCs w:val="28"/>
        </w:rPr>
      </w:pPr>
      <w:r w:rsidRPr="00996655">
        <w:rPr>
          <w:szCs w:val="28"/>
        </w:rPr>
        <w:t>Савенков В. Н. «Ценные бумаги в России», изд-во «Ифра-М», Москва, 1998</w:t>
      </w:r>
      <w:bookmarkStart w:id="14" w:name="_GoBack"/>
      <w:bookmarkEnd w:id="14"/>
    </w:p>
    <w:sectPr w:rsidR="009B53DF" w:rsidRPr="00996655" w:rsidSect="00996655"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B" w:rsidRDefault="009615FB" w:rsidP="00EB0436">
      <w:r>
        <w:separator/>
      </w:r>
    </w:p>
  </w:endnote>
  <w:endnote w:type="continuationSeparator" w:id="0">
    <w:p w:rsidR="009615FB" w:rsidRDefault="009615FB" w:rsidP="00EB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B" w:rsidRDefault="009615FB" w:rsidP="00EB0436">
      <w:r>
        <w:separator/>
      </w:r>
    </w:p>
  </w:footnote>
  <w:footnote w:type="continuationSeparator" w:id="0">
    <w:p w:rsidR="009615FB" w:rsidRDefault="009615FB" w:rsidP="00EB0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C734B"/>
    <w:multiLevelType w:val="multilevel"/>
    <w:tmpl w:val="8BA4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D0F83"/>
    <w:multiLevelType w:val="multilevel"/>
    <w:tmpl w:val="8FDA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394148"/>
    <w:multiLevelType w:val="hybridMultilevel"/>
    <w:tmpl w:val="DDE8D248"/>
    <w:lvl w:ilvl="0" w:tplc="BF42D6A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4C7A1F"/>
    <w:multiLevelType w:val="hybridMultilevel"/>
    <w:tmpl w:val="8B0CEB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C5BBF"/>
    <w:multiLevelType w:val="hybridMultilevel"/>
    <w:tmpl w:val="CB0C240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700F4B8B"/>
    <w:multiLevelType w:val="hybridMultilevel"/>
    <w:tmpl w:val="A16897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54976"/>
    <w:multiLevelType w:val="hybridMultilevel"/>
    <w:tmpl w:val="EE2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6643797"/>
    <w:multiLevelType w:val="multilevel"/>
    <w:tmpl w:val="9BD00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6DC27DD"/>
    <w:multiLevelType w:val="hybridMultilevel"/>
    <w:tmpl w:val="F21C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5932C5"/>
    <w:multiLevelType w:val="hybridMultilevel"/>
    <w:tmpl w:val="E1C843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B5547B"/>
    <w:multiLevelType w:val="hybridMultilevel"/>
    <w:tmpl w:val="9880E0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C18"/>
    <w:rsid w:val="000537A1"/>
    <w:rsid w:val="000A31C9"/>
    <w:rsid w:val="00126E09"/>
    <w:rsid w:val="001A2F72"/>
    <w:rsid w:val="001B3D36"/>
    <w:rsid w:val="001F41D7"/>
    <w:rsid w:val="002B22C4"/>
    <w:rsid w:val="003718BB"/>
    <w:rsid w:val="00397048"/>
    <w:rsid w:val="003C04D2"/>
    <w:rsid w:val="0046214D"/>
    <w:rsid w:val="00491C83"/>
    <w:rsid w:val="0049619E"/>
    <w:rsid w:val="004E0D14"/>
    <w:rsid w:val="006E00CC"/>
    <w:rsid w:val="00734337"/>
    <w:rsid w:val="00772C62"/>
    <w:rsid w:val="008C06F6"/>
    <w:rsid w:val="009014C7"/>
    <w:rsid w:val="00937C18"/>
    <w:rsid w:val="009615FB"/>
    <w:rsid w:val="009735FA"/>
    <w:rsid w:val="00996655"/>
    <w:rsid w:val="009B00AB"/>
    <w:rsid w:val="009B53DF"/>
    <w:rsid w:val="00AE4083"/>
    <w:rsid w:val="00B4548B"/>
    <w:rsid w:val="00BE0F4A"/>
    <w:rsid w:val="00C62758"/>
    <w:rsid w:val="00C87510"/>
    <w:rsid w:val="00C878BC"/>
    <w:rsid w:val="00C949C9"/>
    <w:rsid w:val="00CE2053"/>
    <w:rsid w:val="00D24576"/>
    <w:rsid w:val="00D91BE0"/>
    <w:rsid w:val="00D951A1"/>
    <w:rsid w:val="00EA26A3"/>
    <w:rsid w:val="00EB0436"/>
    <w:rsid w:val="00F74AF3"/>
    <w:rsid w:val="00F7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2A4F7C-9276-4346-812B-8180FA20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D36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E4083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E4083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AE408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E00C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qFormat/>
    <w:rsid w:val="003718BB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4548B"/>
    <w:pPr>
      <w:tabs>
        <w:tab w:val="right" w:leader="dot" w:pos="9345"/>
      </w:tabs>
    </w:pPr>
  </w:style>
  <w:style w:type="paragraph" w:styleId="2">
    <w:name w:val="toc 2"/>
    <w:basedOn w:val="a"/>
    <w:next w:val="a"/>
    <w:autoRedefine/>
    <w:uiPriority w:val="39"/>
    <w:unhideWhenUsed/>
    <w:rsid w:val="003718BB"/>
    <w:pPr>
      <w:spacing w:after="100"/>
      <w:ind w:left="280"/>
    </w:pPr>
  </w:style>
  <w:style w:type="paragraph" w:styleId="3">
    <w:name w:val="toc 3"/>
    <w:basedOn w:val="a"/>
    <w:next w:val="a"/>
    <w:autoRedefine/>
    <w:uiPriority w:val="39"/>
    <w:unhideWhenUsed/>
    <w:rsid w:val="003718BB"/>
    <w:pPr>
      <w:spacing w:after="100"/>
      <w:ind w:left="560"/>
    </w:pPr>
  </w:style>
  <w:style w:type="character" w:styleId="a6">
    <w:name w:val="Hyperlink"/>
    <w:uiPriority w:val="99"/>
    <w:unhideWhenUsed/>
    <w:rsid w:val="003718B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18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718B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B04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EB0436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EB04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EB0436"/>
    <w:rPr>
      <w:rFonts w:cs="Times New Roman"/>
    </w:rPr>
  </w:style>
  <w:style w:type="paragraph" w:styleId="ad">
    <w:name w:val="Body Text"/>
    <w:basedOn w:val="a"/>
    <w:link w:val="ae"/>
    <w:uiPriority w:val="99"/>
    <w:semiHidden/>
    <w:rsid w:val="009B00AB"/>
    <w:pPr>
      <w:jc w:val="both"/>
    </w:pPr>
    <w:rPr>
      <w:rFonts w:ascii="Courier" w:hAnsi="Courier"/>
      <w:noProof/>
      <w:sz w:val="24"/>
      <w:szCs w:val="20"/>
      <w:lang w:eastAsia="ru-RU"/>
    </w:rPr>
  </w:style>
  <w:style w:type="character" w:customStyle="1" w:styleId="ae">
    <w:name w:val="Основной текст Знак"/>
    <w:link w:val="ad"/>
    <w:uiPriority w:val="99"/>
    <w:semiHidden/>
    <w:locked/>
    <w:rsid w:val="009B00AB"/>
    <w:rPr>
      <w:rFonts w:ascii="Courier" w:hAnsi="Courier" w:cs="Times New Roman"/>
      <w:noProof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9B53D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locked/>
    <w:rsid w:val="009B53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3482</Words>
  <Characters>19853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dcterms:created xsi:type="dcterms:W3CDTF">2014-03-12T21:30:00Z</dcterms:created>
  <dcterms:modified xsi:type="dcterms:W3CDTF">2014-03-12T21:30:00Z</dcterms:modified>
</cp:coreProperties>
</file>