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b/>
          <w:bCs/>
          <w:noProof/>
          <w:color w:val="000000"/>
          <w:sz w:val="28"/>
          <w:szCs w:val="27"/>
        </w:rPr>
        <w:t>Задачи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1.Организация получила выручку от реализации продукции в сумме 1500 тыс. руб. (с учетом НДС). Сумма фактических расходов производства равна 700 тыс. руб.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Согласно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Ст.284 НК РФ Налоговая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ставка устанавливается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размере 2</w:t>
      </w:r>
      <w:r w:rsidR="00016F78" w:rsidRPr="008C04A2">
        <w:rPr>
          <w:noProof/>
          <w:color w:val="000000"/>
          <w:sz w:val="28"/>
          <w:szCs w:val="27"/>
        </w:rPr>
        <w:t>4 процентов.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8C04A2">
        <w:rPr>
          <w:noProof/>
          <w:color w:val="000000"/>
          <w:sz w:val="28"/>
          <w:szCs w:val="27"/>
        </w:rPr>
        <w:t xml:space="preserve">Прибыль от реализации составила 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 xml:space="preserve">(1500-1500*18/118-700) = 777,12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8C04A2">
        <w:rPr>
          <w:noProof/>
          <w:color w:val="000000"/>
          <w:sz w:val="28"/>
          <w:szCs w:val="27"/>
        </w:rPr>
        <w:t xml:space="preserve">777,12*24% = 186,51 тыс.руб. </w:t>
      </w:r>
      <w:r w:rsidR="00016F78" w:rsidRPr="008C04A2">
        <w:rPr>
          <w:noProof/>
          <w:color w:val="000000"/>
          <w:sz w:val="28"/>
          <w:szCs w:val="27"/>
        </w:rPr>
        <w:t>–</w:t>
      </w:r>
      <w:r w:rsidRPr="008C04A2">
        <w:rPr>
          <w:noProof/>
          <w:color w:val="000000"/>
          <w:sz w:val="28"/>
          <w:szCs w:val="27"/>
        </w:rPr>
        <w:t xml:space="preserve"> 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8C727B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Налог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прибыль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Получена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плата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за сданное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в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аренду имущество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в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 xml:space="preserve">сумме 12500 руб. с НДС.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Согласно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ст.250 НК РФ Внереализационными доходами налогоплательщика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="00036614">
        <w:rPr>
          <w:noProof/>
          <w:color w:val="000000"/>
          <w:sz w:val="28"/>
          <w:szCs w:val="27"/>
        </w:rPr>
        <w:t xml:space="preserve">признаются, доход </w:t>
      </w:r>
      <w:r w:rsidRPr="008C04A2">
        <w:rPr>
          <w:noProof/>
          <w:color w:val="000000"/>
          <w:sz w:val="28"/>
          <w:szCs w:val="27"/>
        </w:rPr>
        <w:t>от сдачи имущества в аренду (субаренду), если такие доходы не определяются налогоплательщиком в порядке, установленном статьей 249 настоящего Кодекса;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(в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ред.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Федерального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закона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от 29.05.2002 N 57-ФЗ)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Согласно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Ст.284 НК РФ Налоговая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ставка устанавливается в размере 24 процентов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8C727B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12500*24%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= 3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 xml:space="preserve">000 руб 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Получены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основные средства на безвозмездной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 xml:space="preserve">основе от других организаций стоимостью 10500 руб.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Согласно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п. 2 ст. 248 НК РФ для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целей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налогообложения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прибыли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имущество (работы, услуги) или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имущественные права считаются полученными безвозмездно, если их получение не связано с возникновением у получателя обязанности передать имущество (имущественные права) передающему лицу (выполнить для передающего лица работы, оказать услуги)</w:t>
      </w:r>
      <w:r w:rsidRPr="008C04A2">
        <w:rPr>
          <w:noProof/>
          <w:color w:val="000000"/>
          <w:sz w:val="28"/>
          <w:szCs w:val="27"/>
          <w:vertAlign w:val="superscript"/>
        </w:rPr>
        <w:t>10</w:t>
      </w:r>
      <w:r w:rsidR="00016F78" w:rsidRPr="008C04A2">
        <w:rPr>
          <w:noProof/>
          <w:color w:val="000000"/>
          <w:sz w:val="28"/>
          <w:szCs w:val="27"/>
        </w:rPr>
        <w:t>.</w:t>
      </w:r>
      <w:r w:rsidRPr="008C04A2">
        <w:rPr>
          <w:noProof/>
          <w:color w:val="000000"/>
          <w:sz w:val="28"/>
          <w:szCs w:val="27"/>
        </w:rPr>
        <w:t xml:space="preserve"> В соответствии с п. 8 ст. 250 НК РФ доходы в виде безвозмездно полученного имущества независимо от того, юридическим или физическим лицом оно было передано, за исключением имущества, указанного в ст. 251 НК РФ, для целей налогообложения прибыли относятся к внереализационным доходам, формирующим налоговую базу по налогу на прибыль отчетного (налогового) периода. 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8C727B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10500*24% = 2520 руб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Распределенная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часть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прибыли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организации, полученной в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рамках договора о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совместной деятельности, составила в сумме 15000 руб.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В соответствии с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 xml:space="preserve">пунктом 3 ст. 278 НК РФ участник совместной деятельности, который ведет учет доходов и расходов товарищества для целей налогообложения, обязан определять и прибыль каждого товарища.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Плательщиком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налога на прибыль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от совместной деятельности признается каждый член простого товарищества. Свою долю прибыли он включает в состав внереализационных доходов (п. 9 ст. 250 и п. 4 ст. 278 НК РФ). Полученная прибыль облагается налогом по ставке 24% в общей сумме прибыли от других видов деятельности.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8C727B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15000*24%=3600 руб.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Определите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сумму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налога на прибыль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за отчетный период.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8C727B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186 510+3 000 + 2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520 + 3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600 = 195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630 руб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2. На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балансе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организации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находится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следующий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автотранспорт.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</w:p>
    <w:p w:rsidR="008C727B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8C04A2">
        <w:rPr>
          <w:noProof/>
          <w:color w:val="000000"/>
          <w:sz w:val="28"/>
          <w:szCs w:val="27"/>
        </w:rPr>
        <w:t>Согласно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ст.361 НК РФ налоговая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ставка для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расчета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транспортного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налога (с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каждой лошадиной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силы)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7588"/>
        <w:gridCol w:w="1983"/>
      </w:tblGrid>
      <w:tr w:rsidR="008C727B" w:rsidRPr="00F112CC" w:rsidTr="00F112CC">
        <w:trPr>
          <w:trHeight w:val="23"/>
        </w:trPr>
        <w:tc>
          <w:tcPr>
            <w:tcW w:w="3964" w:type="pct"/>
            <w:shd w:val="clear" w:color="auto" w:fill="auto"/>
          </w:tcPr>
          <w:p w:rsidR="008C727B" w:rsidRPr="00F112CC" w:rsidRDefault="008C727B" w:rsidP="00F112C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112CC">
              <w:rPr>
                <w:bCs/>
                <w:noProof/>
                <w:color w:val="000000"/>
                <w:sz w:val="20"/>
              </w:rPr>
              <w:t>Наименование</w:t>
            </w:r>
            <w:r w:rsidR="00016F78" w:rsidRPr="00F112CC">
              <w:rPr>
                <w:bCs/>
                <w:noProof/>
                <w:color w:val="000000"/>
                <w:sz w:val="20"/>
              </w:rPr>
              <w:t xml:space="preserve"> </w:t>
            </w:r>
            <w:r w:rsidRPr="00F112CC">
              <w:rPr>
                <w:bCs/>
                <w:noProof/>
                <w:color w:val="000000"/>
                <w:sz w:val="20"/>
              </w:rPr>
              <w:t>объекта</w:t>
            </w:r>
            <w:r w:rsidR="00016F78" w:rsidRPr="00F112CC">
              <w:rPr>
                <w:bCs/>
                <w:noProof/>
                <w:color w:val="000000"/>
                <w:sz w:val="20"/>
              </w:rPr>
              <w:t xml:space="preserve"> </w:t>
            </w:r>
            <w:r w:rsidRPr="00F112CC">
              <w:rPr>
                <w:bCs/>
                <w:noProof/>
                <w:color w:val="000000"/>
                <w:sz w:val="20"/>
              </w:rPr>
              <w:t>налогообложения</w:t>
            </w:r>
            <w:r w:rsidR="00016F78" w:rsidRPr="00F112CC">
              <w:rPr>
                <w:bCs/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1036" w:type="pct"/>
            <w:shd w:val="clear" w:color="auto" w:fill="auto"/>
          </w:tcPr>
          <w:p w:rsidR="008C727B" w:rsidRPr="00F112CC" w:rsidRDefault="008C727B" w:rsidP="00F112C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112CC">
              <w:rPr>
                <w:bCs/>
                <w:noProof/>
                <w:color w:val="000000"/>
                <w:sz w:val="20"/>
              </w:rPr>
              <w:t xml:space="preserve">Налоговая ставка </w:t>
            </w:r>
          </w:p>
          <w:p w:rsidR="008C727B" w:rsidRPr="00F112CC" w:rsidRDefault="008C727B" w:rsidP="00F112CC">
            <w:pPr>
              <w:pStyle w:val="a3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</w:rPr>
            </w:pPr>
            <w:r w:rsidRPr="00F112CC">
              <w:rPr>
                <w:bCs/>
                <w:noProof/>
                <w:color w:val="000000"/>
                <w:sz w:val="20"/>
              </w:rPr>
              <w:t>(в</w:t>
            </w:r>
            <w:r w:rsidR="00016F78" w:rsidRPr="00F112CC">
              <w:rPr>
                <w:bCs/>
                <w:noProof/>
                <w:color w:val="000000"/>
                <w:sz w:val="20"/>
              </w:rPr>
              <w:t xml:space="preserve"> </w:t>
            </w:r>
            <w:r w:rsidRPr="00F112CC">
              <w:rPr>
                <w:bCs/>
                <w:noProof/>
                <w:color w:val="000000"/>
                <w:sz w:val="20"/>
              </w:rPr>
              <w:t>рублях)</w:t>
            </w:r>
            <w:r w:rsidR="00016F78" w:rsidRPr="00F112CC">
              <w:rPr>
                <w:bCs/>
                <w:noProof/>
                <w:color w:val="000000"/>
                <w:sz w:val="20"/>
              </w:rPr>
              <w:t xml:space="preserve"> </w:t>
            </w:r>
          </w:p>
        </w:tc>
      </w:tr>
      <w:tr w:rsidR="008C727B" w:rsidRPr="00F112CC" w:rsidTr="00F112CC">
        <w:trPr>
          <w:trHeight w:val="23"/>
        </w:trPr>
        <w:tc>
          <w:tcPr>
            <w:tcW w:w="3964" w:type="pct"/>
            <w:shd w:val="clear" w:color="auto" w:fill="auto"/>
          </w:tcPr>
          <w:p w:rsidR="008C727B" w:rsidRPr="00F112CC" w:rsidRDefault="008C727B" w:rsidP="00F112C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112CC">
              <w:rPr>
                <w:noProof/>
                <w:color w:val="000000"/>
                <w:sz w:val="20"/>
              </w:rPr>
              <w:t>Автомобили</w:t>
            </w:r>
            <w:r w:rsidR="00016F78" w:rsidRPr="00F112CC">
              <w:rPr>
                <w:noProof/>
                <w:color w:val="000000"/>
                <w:sz w:val="20"/>
              </w:rPr>
              <w:t xml:space="preserve"> </w:t>
            </w:r>
            <w:r w:rsidRPr="00F112CC">
              <w:rPr>
                <w:noProof/>
                <w:color w:val="000000"/>
                <w:sz w:val="20"/>
              </w:rPr>
              <w:t>легковые с</w:t>
            </w:r>
            <w:r w:rsidR="00016F78" w:rsidRPr="00F112CC">
              <w:rPr>
                <w:noProof/>
                <w:color w:val="000000"/>
                <w:sz w:val="20"/>
              </w:rPr>
              <w:t xml:space="preserve"> </w:t>
            </w:r>
            <w:r w:rsidRPr="00F112CC">
              <w:rPr>
                <w:noProof/>
                <w:color w:val="000000"/>
                <w:sz w:val="20"/>
              </w:rPr>
              <w:t>мощностью</w:t>
            </w:r>
            <w:r w:rsidR="00016F78" w:rsidRPr="00F112CC">
              <w:rPr>
                <w:noProof/>
                <w:color w:val="000000"/>
                <w:sz w:val="20"/>
              </w:rPr>
              <w:t xml:space="preserve"> </w:t>
            </w:r>
            <w:r w:rsidRPr="00F112CC">
              <w:rPr>
                <w:noProof/>
                <w:color w:val="000000"/>
                <w:sz w:val="20"/>
              </w:rPr>
              <w:t>двигателя (с</w:t>
            </w:r>
            <w:r w:rsidR="00016F78" w:rsidRPr="00F112CC">
              <w:rPr>
                <w:noProof/>
                <w:color w:val="000000"/>
                <w:sz w:val="20"/>
              </w:rPr>
              <w:t xml:space="preserve"> </w:t>
            </w:r>
            <w:r w:rsidRPr="00F112CC">
              <w:rPr>
                <w:noProof/>
                <w:color w:val="000000"/>
                <w:sz w:val="20"/>
              </w:rPr>
              <w:t>каждой лошадиной</w:t>
            </w:r>
            <w:r w:rsidR="00016F78" w:rsidRPr="00F112CC">
              <w:rPr>
                <w:noProof/>
                <w:color w:val="000000"/>
                <w:sz w:val="20"/>
              </w:rPr>
              <w:t xml:space="preserve"> </w:t>
            </w:r>
            <w:r w:rsidRPr="00F112CC">
              <w:rPr>
                <w:noProof/>
                <w:color w:val="000000"/>
                <w:sz w:val="20"/>
              </w:rPr>
              <w:t>силы):</w:t>
            </w:r>
            <w:r w:rsidR="00016F78" w:rsidRPr="00F112CC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1036" w:type="pct"/>
            <w:shd w:val="clear" w:color="auto" w:fill="auto"/>
          </w:tcPr>
          <w:p w:rsidR="008C727B" w:rsidRPr="00F112CC" w:rsidRDefault="00016F78" w:rsidP="00F112C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112CC">
              <w:rPr>
                <w:noProof/>
                <w:color w:val="000000"/>
                <w:sz w:val="20"/>
              </w:rPr>
              <w:t xml:space="preserve"> </w:t>
            </w:r>
          </w:p>
        </w:tc>
      </w:tr>
      <w:tr w:rsidR="008C727B" w:rsidRPr="00F112CC" w:rsidTr="00F112CC">
        <w:trPr>
          <w:trHeight w:val="23"/>
        </w:trPr>
        <w:tc>
          <w:tcPr>
            <w:tcW w:w="3964" w:type="pct"/>
            <w:shd w:val="clear" w:color="auto" w:fill="auto"/>
          </w:tcPr>
          <w:p w:rsidR="008C727B" w:rsidRPr="00F112CC" w:rsidRDefault="008C727B" w:rsidP="00F112C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112CC">
              <w:rPr>
                <w:noProof/>
                <w:color w:val="000000"/>
                <w:sz w:val="20"/>
              </w:rPr>
              <w:t xml:space="preserve">до 100 л.с. (до 73,55 кВт) включительно </w:t>
            </w:r>
          </w:p>
        </w:tc>
        <w:tc>
          <w:tcPr>
            <w:tcW w:w="1036" w:type="pct"/>
            <w:shd w:val="clear" w:color="auto" w:fill="auto"/>
          </w:tcPr>
          <w:p w:rsidR="008C727B" w:rsidRPr="00F112CC" w:rsidRDefault="008C727B" w:rsidP="00F112C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112CC">
              <w:rPr>
                <w:noProof/>
                <w:color w:val="000000"/>
                <w:sz w:val="20"/>
              </w:rPr>
              <w:t>7</w:t>
            </w:r>
          </w:p>
        </w:tc>
      </w:tr>
      <w:tr w:rsidR="008C727B" w:rsidRPr="00F112CC" w:rsidTr="00F112CC">
        <w:trPr>
          <w:trHeight w:val="23"/>
        </w:trPr>
        <w:tc>
          <w:tcPr>
            <w:tcW w:w="3964" w:type="pct"/>
            <w:shd w:val="clear" w:color="auto" w:fill="auto"/>
          </w:tcPr>
          <w:p w:rsidR="008C727B" w:rsidRPr="00F112CC" w:rsidRDefault="008C727B" w:rsidP="00F112C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112CC">
              <w:rPr>
                <w:noProof/>
                <w:color w:val="000000"/>
                <w:sz w:val="20"/>
              </w:rPr>
              <w:t>свыше 100 л.с. до 125 л.с. (свыше 73,55 кВт</w:t>
            </w:r>
            <w:r w:rsidR="00016F78" w:rsidRPr="00F112CC">
              <w:rPr>
                <w:noProof/>
                <w:color w:val="000000"/>
                <w:sz w:val="20"/>
              </w:rPr>
              <w:t xml:space="preserve"> </w:t>
            </w:r>
            <w:r w:rsidRPr="00F112CC">
              <w:rPr>
                <w:noProof/>
                <w:color w:val="000000"/>
                <w:sz w:val="20"/>
              </w:rPr>
              <w:t xml:space="preserve">до 91,94 кВт) включительно </w:t>
            </w:r>
          </w:p>
        </w:tc>
        <w:tc>
          <w:tcPr>
            <w:tcW w:w="1036" w:type="pct"/>
            <w:shd w:val="clear" w:color="auto" w:fill="auto"/>
          </w:tcPr>
          <w:p w:rsidR="008C727B" w:rsidRPr="00F112CC" w:rsidRDefault="008C727B" w:rsidP="00F112C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112CC">
              <w:rPr>
                <w:noProof/>
                <w:color w:val="000000"/>
                <w:sz w:val="20"/>
              </w:rPr>
              <w:t>20</w:t>
            </w:r>
          </w:p>
        </w:tc>
      </w:tr>
      <w:tr w:rsidR="008C727B" w:rsidRPr="00F112CC" w:rsidTr="00F112CC">
        <w:trPr>
          <w:trHeight w:val="23"/>
        </w:trPr>
        <w:tc>
          <w:tcPr>
            <w:tcW w:w="3964" w:type="pct"/>
            <w:shd w:val="clear" w:color="auto" w:fill="auto"/>
          </w:tcPr>
          <w:p w:rsidR="008C727B" w:rsidRPr="00F112CC" w:rsidRDefault="008C727B" w:rsidP="00F112C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112CC">
              <w:rPr>
                <w:noProof/>
                <w:color w:val="000000"/>
                <w:sz w:val="20"/>
              </w:rPr>
              <w:t>Автобусы</w:t>
            </w:r>
            <w:r w:rsidR="00016F78" w:rsidRPr="00F112CC">
              <w:rPr>
                <w:noProof/>
                <w:color w:val="000000"/>
                <w:sz w:val="20"/>
              </w:rPr>
              <w:t xml:space="preserve"> </w:t>
            </w:r>
            <w:r w:rsidRPr="00F112CC">
              <w:rPr>
                <w:noProof/>
                <w:color w:val="000000"/>
                <w:sz w:val="20"/>
              </w:rPr>
              <w:t>со сроком полезного</w:t>
            </w:r>
            <w:r w:rsidR="00016F78" w:rsidRPr="00F112CC">
              <w:rPr>
                <w:noProof/>
                <w:color w:val="000000"/>
                <w:sz w:val="20"/>
              </w:rPr>
              <w:t xml:space="preserve"> </w:t>
            </w:r>
            <w:r w:rsidRPr="00F112CC">
              <w:rPr>
                <w:noProof/>
                <w:color w:val="000000"/>
                <w:sz w:val="20"/>
              </w:rPr>
              <w:t>использования</w:t>
            </w:r>
            <w:r w:rsidR="00016F78" w:rsidRPr="00F112CC">
              <w:rPr>
                <w:noProof/>
                <w:color w:val="000000"/>
                <w:sz w:val="20"/>
              </w:rPr>
              <w:t xml:space="preserve"> </w:t>
            </w:r>
            <w:r w:rsidRPr="00F112CC">
              <w:rPr>
                <w:noProof/>
                <w:color w:val="000000"/>
                <w:sz w:val="20"/>
              </w:rPr>
              <w:t>свыше 5 лет</w:t>
            </w:r>
            <w:r w:rsidR="00016F78" w:rsidRPr="00F112CC">
              <w:rPr>
                <w:noProof/>
                <w:color w:val="000000"/>
                <w:sz w:val="20"/>
              </w:rPr>
              <w:t xml:space="preserve"> </w:t>
            </w:r>
            <w:r w:rsidRPr="00F112CC">
              <w:rPr>
                <w:noProof/>
                <w:color w:val="000000"/>
                <w:sz w:val="20"/>
              </w:rPr>
              <w:t>с</w:t>
            </w:r>
            <w:r w:rsidR="00016F78" w:rsidRPr="00F112CC">
              <w:rPr>
                <w:noProof/>
                <w:color w:val="000000"/>
                <w:sz w:val="20"/>
              </w:rPr>
              <w:t xml:space="preserve"> </w:t>
            </w:r>
            <w:r w:rsidRPr="00F112CC">
              <w:rPr>
                <w:noProof/>
                <w:color w:val="000000"/>
                <w:sz w:val="20"/>
              </w:rPr>
              <w:t>мощностью</w:t>
            </w:r>
            <w:r w:rsidR="00016F78" w:rsidRPr="00F112CC">
              <w:rPr>
                <w:noProof/>
                <w:color w:val="000000"/>
                <w:sz w:val="20"/>
              </w:rPr>
              <w:t xml:space="preserve"> </w:t>
            </w:r>
            <w:r w:rsidRPr="00F112CC">
              <w:rPr>
                <w:noProof/>
                <w:color w:val="000000"/>
                <w:sz w:val="20"/>
              </w:rPr>
              <w:t>двигателя (с</w:t>
            </w:r>
            <w:r w:rsidR="00016F78" w:rsidRPr="00F112CC">
              <w:rPr>
                <w:noProof/>
                <w:color w:val="000000"/>
                <w:sz w:val="20"/>
              </w:rPr>
              <w:t xml:space="preserve"> </w:t>
            </w:r>
            <w:r w:rsidRPr="00F112CC">
              <w:rPr>
                <w:noProof/>
                <w:color w:val="000000"/>
                <w:sz w:val="20"/>
              </w:rPr>
              <w:t>каждой лошадиной</w:t>
            </w:r>
            <w:r w:rsidR="00016F78" w:rsidRPr="00F112CC">
              <w:rPr>
                <w:noProof/>
                <w:color w:val="000000"/>
                <w:sz w:val="20"/>
              </w:rPr>
              <w:t xml:space="preserve"> </w:t>
            </w:r>
            <w:r w:rsidRPr="00F112CC">
              <w:rPr>
                <w:noProof/>
                <w:color w:val="000000"/>
                <w:sz w:val="20"/>
              </w:rPr>
              <w:t xml:space="preserve">силы): </w:t>
            </w:r>
          </w:p>
        </w:tc>
        <w:tc>
          <w:tcPr>
            <w:tcW w:w="1036" w:type="pct"/>
            <w:shd w:val="clear" w:color="auto" w:fill="auto"/>
          </w:tcPr>
          <w:p w:rsidR="008C727B" w:rsidRPr="00F112CC" w:rsidRDefault="00016F78" w:rsidP="00F112C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112CC">
              <w:rPr>
                <w:noProof/>
                <w:color w:val="000000"/>
                <w:sz w:val="20"/>
              </w:rPr>
              <w:t xml:space="preserve"> </w:t>
            </w:r>
          </w:p>
        </w:tc>
      </w:tr>
      <w:tr w:rsidR="008C727B" w:rsidRPr="00F112CC" w:rsidTr="00F112CC">
        <w:trPr>
          <w:trHeight w:val="23"/>
        </w:trPr>
        <w:tc>
          <w:tcPr>
            <w:tcW w:w="3964" w:type="pct"/>
            <w:shd w:val="clear" w:color="auto" w:fill="auto"/>
          </w:tcPr>
          <w:p w:rsidR="008C727B" w:rsidRPr="00F112CC" w:rsidRDefault="008C727B" w:rsidP="00F112C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112CC">
              <w:rPr>
                <w:noProof/>
                <w:color w:val="000000"/>
                <w:sz w:val="20"/>
              </w:rPr>
              <w:t xml:space="preserve">до 110 л.с. (до 80,9 кВт) включительно </w:t>
            </w:r>
          </w:p>
        </w:tc>
        <w:tc>
          <w:tcPr>
            <w:tcW w:w="1036" w:type="pct"/>
            <w:shd w:val="clear" w:color="auto" w:fill="auto"/>
          </w:tcPr>
          <w:p w:rsidR="008C727B" w:rsidRPr="00F112CC" w:rsidRDefault="008C727B" w:rsidP="00F112C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112CC">
              <w:rPr>
                <w:noProof/>
                <w:color w:val="000000"/>
                <w:sz w:val="20"/>
              </w:rPr>
              <w:t>15</w:t>
            </w:r>
          </w:p>
        </w:tc>
      </w:tr>
      <w:tr w:rsidR="008C727B" w:rsidRPr="00F112CC" w:rsidTr="00F112CC">
        <w:trPr>
          <w:trHeight w:val="23"/>
        </w:trPr>
        <w:tc>
          <w:tcPr>
            <w:tcW w:w="3964" w:type="pct"/>
            <w:shd w:val="clear" w:color="auto" w:fill="auto"/>
          </w:tcPr>
          <w:p w:rsidR="008C727B" w:rsidRPr="00F112CC" w:rsidRDefault="008C727B" w:rsidP="00F112C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112CC">
              <w:rPr>
                <w:noProof/>
                <w:color w:val="000000"/>
                <w:sz w:val="20"/>
              </w:rPr>
              <w:t>свыше 110 л.с. до 200 л.с. (свыше 80,9 кВт</w:t>
            </w:r>
            <w:r w:rsidR="00016F78" w:rsidRPr="00F112CC">
              <w:rPr>
                <w:noProof/>
                <w:color w:val="000000"/>
                <w:sz w:val="20"/>
              </w:rPr>
              <w:t xml:space="preserve"> </w:t>
            </w:r>
            <w:r w:rsidRPr="00F112CC">
              <w:rPr>
                <w:noProof/>
                <w:color w:val="000000"/>
                <w:sz w:val="20"/>
              </w:rPr>
              <w:t xml:space="preserve">до 147,1 кВт) включительно </w:t>
            </w:r>
          </w:p>
        </w:tc>
        <w:tc>
          <w:tcPr>
            <w:tcW w:w="1036" w:type="pct"/>
            <w:shd w:val="clear" w:color="auto" w:fill="auto"/>
          </w:tcPr>
          <w:p w:rsidR="008C727B" w:rsidRPr="00F112CC" w:rsidRDefault="008C727B" w:rsidP="00F112C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112CC">
              <w:rPr>
                <w:noProof/>
                <w:color w:val="000000"/>
                <w:sz w:val="20"/>
              </w:rPr>
              <w:t>26</w:t>
            </w:r>
          </w:p>
        </w:tc>
      </w:tr>
      <w:tr w:rsidR="008C727B" w:rsidRPr="00F112CC" w:rsidTr="00F112CC">
        <w:trPr>
          <w:trHeight w:val="23"/>
        </w:trPr>
        <w:tc>
          <w:tcPr>
            <w:tcW w:w="3964" w:type="pct"/>
            <w:shd w:val="clear" w:color="auto" w:fill="auto"/>
          </w:tcPr>
          <w:p w:rsidR="008C727B" w:rsidRPr="00F112CC" w:rsidRDefault="008C727B" w:rsidP="00F112C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112CC">
              <w:rPr>
                <w:noProof/>
                <w:color w:val="000000"/>
                <w:sz w:val="20"/>
              </w:rPr>
              <w:t>свыше 200 л.с. до 250 л.с. (свыше 147,1 кВт до 183,9 кВт) включительно</w:t>
            </w:r>
            <w:r w:rsidR="00016F78" w:rsidRPr="00F112CC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1036" w:type="pct"/>
            <w:shd w:val="clear" w:color="auto" w:fill="auto"/>
          </w:tcPr>
          <w:p w:rsidR="008C727B" w:rsidRPr="00F112CC" w:rsidRDefault="008C727B" w:rsidP="00F112C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112CC">
              <w:rPr>
                <w:noProof/>
                <w:color w:val="000000"/>
                <w:sz w:val="20"/>
              </w:rPr>
              <w:t>55</w:t>
            </w:r>
          </w:p>
        </w:tc>
      </w:tr>
      <w:tr w:rsidR="008C727B" w:rsidRPr="00F112CC" w:rsidTr="00F112CC">
        <w:trPr>
          <w:trHeight w:val="23"/>
        </w:trPr>
        <w:tc>
          <w:tcPr>
            <w:tcW w:w="3964" w:type="pct"/>
            <w:shd w:val="clear" w:color="auto" w:fill="auto"/>
          </w:tcPr>
          <w:p w:rsidR="008C727B" w:rsidRPr="00F112CC" w:rsidRDefault="008C727B" w:rsidP="00F112C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112CC">
              <w:rPr>
                <w:noProof/>
                <w:color w:val="000000"/>
                <w:sz w:val="20"/>
              </w:rPr>
              <w:t xml:space="preserve">свыше 250 л.с. (свыше 183,9 кВт) </w:t>
            </w:r>
          </w:p>
        </w:tc>
        <w:tc>
          <w:tcPr>
            <w:tcW w:w="1036" w:type="pct"/>
            <w:shd w:val="clear" w:color="auto" w:fill="auto"/>
          </w:tcPr>
          <w:p w:rsidR="008C727B" w:rsidRPr="00F112CC" w:rsidRDefault="008C727B" w:rsidP="00F112C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112CC">
              <w:rPr>
                <w:noProof/>
                <w:color w:val="000000"/>
                <w:sz w:val="20"/>
              </w:rPr>
              <w:t>70</w:t>
            </w:r>
          </w:p>
        </w:tc>
      </w:tr>
    </w:tbl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Грузовые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автомобили: (считаем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срок полезного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использования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свыше 5 лет)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КАМАЗ - 2 ед. (мощность 400 л.с.).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70*400*2 = 56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000 руб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ЗИЛ - 3 ед. (мощность 240 л.с.).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8C727B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55*240*3 = 39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600 руб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Легковые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автомобили: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"Жигули" - 3 ед. (мощность 80 ед.).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7*80*3 = 1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680 руб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"ГАЗ" - 2 ед. (мощность 110 ед.).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8C727B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20*110*2 =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4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400 руб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br w:type="page"/>
      </w:r>
      <w:r w:rsidR="008C727B" w:rsidRPr="008C04A2">
        <w:rPr>
          <w:iCs/>
          <w:noProof/>
          <w:color w:val="000000"/>
          <w:sz w:val="28"/>
          <w:szCs w:val="27"/>
        </w:rPr>
        <w:t>Автобус - 2 ед. (мощность 150 ед.): (считаем</w:t>
      </w:r>
      <w:r w:rsidRPr="008C04A2">
        <w:rPr>
          <w:iCs/>
          <w:noProof/>
          <w:color w:val="000000"/>
          <w:sz w:val="28"/>
          <w:szCs w:val="27"/>
        </w:rPr>
        <w:t xml:space="preserve"> </w:t>
      </w:r>
      <w:r w:rsidR="008C727B" w:rsidRPr="008C04A2">
        <w:rPr>
          <w:iCs/>
          <w:noProof/>
          <w:color w:val="000000"/>
          <w:sz w:val="28"/>
          <w:szCs w:val="27"/>
        </w:rPr>
        <w:t>срок полезного</w:t>
      </w:r>
      <w:r w:rsidRPr="008C04A2">
        <w:rPr>
          <w:iCs/>
          <w:noProof/>
          <w:color w:val="000000"/>
          <w:sz w:val="28"/>
          <w:szCs w:val="27"/>
        </w:rPr>
        <w:t xml:space="preserve"> </w:t>
      </w:r>
      <w:r w:rsidR="008C727B" w:rsidRPr="008C04A2">
        <w:rPr>
          <w:iCs/>
          <w:noProof/>
          <w:color w:val="000000"/>
          <w:sz w:val="28"/>
          <w:szCs w:val="27"/>
        </w:rPr>
        <w:t>использования</w:t>
      </w:r>
      <w:r w:rsidRPr="008C04A2">
        <w:rPr>
          <w:iCs/>
          <w:noProof/>
          <w:color w:val="000000"/>
          <w:sz w:val="28"/>
          <w:szCs w:val="27"/>
        </w:rPr>
        <w:t xml:space="preserve"> </w:t>
      </w:r>
      <w:r w:rsidR="008C727B" w:rsidRPr="008C04A2">
        <w:rPr>
          <w:iCs/>
          <w:noProof/>
          <w:color w:val="000000"/>
          <w:sz w:val="28"/>
          <w:szCs w:val="27"/>
        </w:rPr>
        <w:t>свыше 5 лет)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8C727B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26*150*2 = 7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800 руб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Определите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сумму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транспортного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налога.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8C727B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56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000 + 39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600 + 1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680 + 4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400 + 7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800 =109 480</w:t>
      </w:r>
      <w:r w:rsidR="00016F78" w:rsidRPr="008C04A2">
        <w:rPr>
          <w:noProof/>
          <w:color w:val="000000"/>
          <w:sz w:val="28"/>
        </w:rPr>
        <w:t xml:space="preserve"> 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3. В 2007 году Музе Леденцовой была начислена зарплата в сумме 120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000 руб. (10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 xml:space="preserve">000 руб. ежемесячно).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Согласно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ст.224 п.1 НК РФ, налоговая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ставка устанавливается в размере 13 процентов.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Согласно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п.1 ст.218 НК РФ, налоговый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вычет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размере 400 рублей за каждый месяц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налогового периода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действует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до месяца, 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котором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их доход, исчисленный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нарастающим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итогом с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начала налогового налоговым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агентом, предоставляющим данный стандартный налоговый вычет, превысил 20 000 рублей. Начиная с месяца, в котором указанный доход превысил 20 000 рублей налоговый вычет, предусмотренный настоящим подпунктом, не применяется;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В данном случае доход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нарастающим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итогом превысил 20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000 рублей в феврале (с учетом стоимости абонемента в бассейн 18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000 руб.), поэтому начиная с февраля, стандартный налоговый вычет в размере 400 рублей не применяется. Рассчитаем налогооблагаемый доход: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(120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000 – 400) = 119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600 руб.</w:t>
      </w:r>
    </w:p>
    <w:p w:rsidR="008C727B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119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600 * 13% = 15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548 руб. - НДФЛ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В январе 2008 года Муза также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получила на свой банковский счет 25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 xml:space="preserve">130 руб. Это была выплата премии за 2007 г., начислена в декабре 2007 г.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Согласно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п.2 ст.223 НК РФ, при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получении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дохода 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виде оплаты труда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датой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фактического получения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налогоплательщиком такого дохода признается последний день месяца, за который ему был начислен доход за выполненные трудовые обязанности в соответствии с трудовым договором (контрактом).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В данном случае налогооблагаемый доход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составляет 25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130 руб.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8C727B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25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130 * 13% = 3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266,90 - НДФЛ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Кроме того, в 2007 г. театр произвел оплату Музе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- абонемента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на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посещение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бассейна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в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сумме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18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000 руб. (абонемент приобретен в феврале);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18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000 руб – налогооблагаемый доход за февраль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- талонов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на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питание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в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буфете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театра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в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размере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12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000 руб. (1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000 руб. ежемесячно);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Согласно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подпункту 1 п.2 ст. 211 НК РФ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талоны на питание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являются доходом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натуральной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форме. Удерживается ежемесячно с 1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 xml:space="preserve">000 руб. согласно п.4 ст. 226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12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000 руб. – налогооблагаемая база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путевки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в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Испанию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на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отдых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стоимостью 36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000 руб. (оплата в мае);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в п. 9 статьи 217 НК написано, что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 доходы не платят «с суммы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полной или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частичной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компенсации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стоимости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путевок». Однако льготу по НДФЛ применить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нельзя, если путевка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туристическая, то есть если она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«не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предполагает проведение комплекса лечебных мероприятий» (из разъяснений Минфина в письме от 19 января 2004 г. № 04-04-06/10). Помимо этого, здравница должна располагаться на территории России и иметь статус санаторно-курортного или оздоровительного учреждения.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36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000 руб. - налогооблагаемый доход в мае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- полиса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добровольного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медицинского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страхования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стоимостью 50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000 руб. (оплата в январе).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Личное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добровольное страхование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сотрудников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организации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за счет средств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работодателя не облагается НДФЛ. (письмо Минфина России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от 17 июня 2008 г. № 03-04-06-01/216.)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Так не учитываются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при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определении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налоговой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базы по налогу на доходы физических лиц суммы взносов, вносимых работодателями по договорам добровольного личного страхования, заключенным в порядке, определенном Законом Российской Федерации от 28.06.1991 N 1499-1 "О медицинском страховании граждан в Российской Федерации".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Также в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июле Муза получила от театра браслет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стоимостью 16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000 руб. в качестве подарка на день рождения.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Согласно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ст.217 НК не подлежат налогообложению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доходы, не превышающие 4 000 рублей, полученные по каждому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из следующих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оснований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за налоговый период: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- стоимость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подарков, полученных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налогоплательщиками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от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организаций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или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индивидуальных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предпринимателей;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Таким образом, налогооблагаемая база составит 16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000 – 4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000 = 12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000 руб.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12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000 * 13% = 1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560 руб. - НДФЛ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Рассчитайте налогооблагаемый доход Музы за текущий год.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119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600 + 25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130 + 18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000 + 12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000 + 36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000 + 12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000 = 222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730 руб. – налогооблагаемый доход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15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548 + 3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266,90 + 2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340 + 1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560 + 4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680 + 1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560 = 28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954, 90 руб. - НДФЛ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noProof/>
          <w:color w:val="000000"/>
          <w:sz w:val="28"/>
          <w:szCs w:val="27"/>
        </w:rPr>
      </w:pP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br w:type="page"/>
      </w:r>
      <w:r w:rsidR="008C727B" w:rsidRPr="008C04A2">
        <w:rPr>
          <w:iCs/>
          <w:noProof/>
          <w:color w:val="000000"/>
          <w:sz w:val="28"/>
          <w:szCs w:val="27"/>
        </w:rPr>
        <w:t>Объясните, как театр будет производить удержание НДФЛ с выплат, сделанных Музе в натуральной форме. абонемента</w:t>
      </w:r>
      <w:r w:rsidRPr="008C04A2">
        <w:rPr>
          <w:iCs/>
          <w:noProof/>
          <w:color w:val="000000"/>
          <w:sz w:val="28"/>
          <w:szCs w:val="27"/>
        </w:rPr>
        <w:t xml:space="preserve"> </w:t>
      </w:r>
      <w:r w:rsidR="008C727B" w:rsidRPr="008C04A2">
        <w:rPr>
          <w:iCs/>
          <w:noProof/>
          <w:color w:val="000000"/>
          <w:sz w:val="28"/>
          <w:szCs w:val="27"/>
        </w:rPr>
        <w:t>на посещение</w:t>
      </w:r>
      <w:r w:rsidRPr="008C04A2">
        <w:rPr>
          <w:iCs/>
          <w:noProof/>
          <w:color w:val="000000"/>
          <w:sz w:val="28"/>
          <w:szCs w:val="27"/>
        </w:rPr>
        <w:t xml:space="preserve"> </w:t>
      </w:r>
      <w:r w:rsidR="008C727B" w:rsidRPr="008C04A2">
        <w:rPr>
          <w:iCs/>
          <w:noProof/>
          <w:color w:val="000000"/>
          <w:sz w:val="28"/>
          <w:szCs w:val="27"/>
        </w:rPr>
        <w:t>бассейна в</w:t>
      </w:r>
      <w:r w:rsidRPr="008C04A2">
        <w:rPr>
          <w:iCs/>
          <w:noProof/>
          <w:color w:val="000000"/>
          <w:sz w:val="28"/>
          <w:szCs w:val="27"/>
        </w:rPr>
        <w:t xml:space="preserve"> </w:t>
      </w:r>
      <w:r w:rsidR="008C727B" w:rsidRPr="008C04A2">
        <w:rPr>
          <w:iCs/>
          <w:noProof/>
          <w:color w:val="000000"/>
          <w:sz w:val="28"/>
          <w:szCs w:val="27"/>
        </w:rPr>
        <w:t>сумме 18</w:t>
      </w:r>
      <w:r w:rsidRPr="008C04A2">
        <w:rPr>
          <w:iCs/>
          <w:noProof/>
          <w:color w:val="000000"/>
          <w:sz w:val="28"/>
          <w:szCs w:val="27"/>
        </w:rPr>
        <w:t xml:space="preserve"> </w:t>
      </w:r>
      <w:r w:rsidR="008C727B" w:rsidRPr="008C04A2">
        <w:rPr>
          <w:iCs/>
          <w:noProof/>
          <w:color w:val="000000"/>
          <w:sz w:val="28"/>
          <w:szCs w:val="27"/>
        </w:rPr>
        <w:t>000 руб. (абонемент приобретен в феврале);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Со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стоимости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абонементов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бассейн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необходимо удержать НДФЛ. Оплатив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бассейн, театр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выдаст сотрудникам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доход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натуральной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форме. Такой вывод следует из подпункта 1 п.2 ст. 211 НК РФ.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Пункт 4 статьи 226 НК РФ гласит, что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НДФЛ следует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удерживать 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момент выплаты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дохода. 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подпункт 2 п.1 ст. 223 кодекса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уточняет: доход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натуральной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форме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считается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выплаченным, когда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налогоплательщик его фактически получил, т.е. в феврале. В этот момент и нужно удержать НДФЛ. Такой вывод можно сделать из п. 4 и 6 статьи 226 НК РФ.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18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000* 13% = 2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340 руб. - НДФЛ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- талонов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на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питание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в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буфете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театра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в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размере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12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000 руб. (1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000 руб. ежемесячно);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Согласно подпункту 1 п.2 ст. 211 НК РФ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талоны на питание являются доходом в натуральной форме. Удерживается ежемесячно с 1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 xml:space="preserve">000 руб. согласно п.4 ст. 226 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12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000 *13% = 1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560 руб. - НДФЛ за год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Также в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июле Муза получила от театра браслет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стоимостью 16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000 руб. в качестве подарка на день рождения.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12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000 * 13% = 1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560 руб. – НДФЛ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- путевки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в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Испанию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на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отдых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стоимостью 36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000 руб. (оплата в мае);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br w:type="page"/>
      </w:r>
      <w:r w:rsidR="008C727B" w:rsidRPr="008C04A2">
        <w:rPr>
          <w:noProof/>
          <w:color w:val="000000"/>
          <w:sz w:val="28"/>
          <w:szCs w:val="27"/>
        </w:rPr>
        <w:t>36</w:t>
      </w:r>
      <w:r w:rsidRPr="008C04A2">
        <w:rPr>
          <w:noProof/>
          <w:color w:val="000000"/>
          <w:sz w:val="28"/>
          <w:szCs w:val="27"/>
        </w:rPr>
        <w:t xml:space="preserve"> </w:t>
      </w:r>
      <w:r w:rsidR="008C727B" w:rsidRPr="008C04A2">
        <w:rPr>
          <w:noProof/>
          <w:color w:val="000000"/>
          <w:sz w:val="28"/>
          <w:szCs w:val="27"/>
        </w:rPr>
        <w:t>000 * 13% = 4680 руб. НДФЛ</w:t>
      </w:r>
      <w:r w:rsidRPr="008C04A2">
        <w:rPr>
          <w:noProof/>
          <w:color w:val="000000"/>
          <w:sz w:val="28"/>
          <w:szCs w:val="27"/>
        </w:rPr>
        <w:t xml:space="preserve">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2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340 + 1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560 + 1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560 + 4680 = 10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140 руб. – НДФЛ с доходов в натур. форме.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 xml:space="preserve">4. Организация с 1 января перешла на упрощенную систему налогообложения. На балансе организации числятся объекты основных средств сроком полезного использования: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- три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 xml:space="preserve">года (первоначальная стоимость — 180 тыс. руб., остаточная стоимость — 150 тыс. руб.);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 xml:space="preserve">- девять лет (первоначальная стоимость — 730 тыс. руб., остаточная стоимость — 540 тыс. руб.);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- 20 лет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(первоначальная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стоимость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—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2830 тыс.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 xml:space="preserve">руб., остаточная стоимость — 2540 тыс. руб.).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Доходы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от реализации продукции за год составили 9700 тыс. руб., расходы — 8200 тыс. руб., в том числе взносы на обязательное пенсионное страхование — 30 тыс. руб. (уплачено 25 тыс. руб.). Получено безвозмездно оборудование стоимостью 120 тыс. руб.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Исчислите сумму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налога, подлежащего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уплате в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 xml:space="preserve">бюджет за налоговый период (объект налогообложения — доходы). Рассчитайте сумму налога по альтернативному варианту — объектом налогообложения приняты доходы, уменьшенные на сумму расходов.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Сделайте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вывод, какой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из вариантов оптимален для данной организации.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Рассчитаем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сумму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налога, подлежащего уплате в бюджет за налоговый период (объект налогообложения- доходы).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Согласно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ст. 346.15. организации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при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определении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объекта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налогообложения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учитывают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следующие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 xml:space="preserve">доходы: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-доходы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от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реализации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товаров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(работ,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услуг), реализации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имущества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имущественных прав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-внереализационные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доходы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Согласно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ст.346.20 НК РФ налоговая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ставка составляет 6%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(9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700 + 120)*6% = 589,2 тыс.руб. – сумма налога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Согласно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ст. 346.21 сумма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налога уменьшается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 величину уплаченных взносов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 обязательное пенсионное страхование. Максимальный размер льготы не превышает 50% от суммы налога.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589,2* 50% = 294,6 тыс.руб.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–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размер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максимальной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льготы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589,2 –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25 = 564,2 тыс.руб.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–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сумма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налога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Рассчитаем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сумму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налога по альтернативному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варианту (доходы, уменьшенные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 величину расходов):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Согласно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п.3 ст. 346.16 НК РФ организации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при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определении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объекта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налогообложения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учитывают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следующие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расходы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 приобретение основных средств: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в отношении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основных средств, приобретенных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налогоплательщиком до перехода на упрощенную систему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 xml:space="preserve">налогообложения, стоимость основных средств включается в расходы на приобретение основных средств в следующем порядке: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в отношении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основных средств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со сроком полезного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использования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до трех лет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включительно - 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течение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одного года применения упрощенной системы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 xml:space="preserve">налогообложения;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в отношении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основных средств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со сроком полезного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использования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от трех до 15 лет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включительно: 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течение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первого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года применения упрощенной системы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налогообложения - 50 процентов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стоимости, второго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года - 30 процентов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стоимости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 xml:space="preserve">третьего года - 20 процентов стоимости;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в отношении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основных средств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со сроком полезного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использования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свыше 15 лет - 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течение 10 лет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применения упрощенной системы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налогообложения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равными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долями от стоимости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 xml:space="preserve">основных средств.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8C04A2">
        <w:rPr>
          <w:noProof/>
          <w:color w:val="000000"/>
          <w:sz w:val="28"/>
          <w:szCs w:val="27"/>
        </w:rPr>
        <w:t>При этом 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течение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налогового периода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 xml:space="preserve">расходы принимаются по отчетным периодам равными долями.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Стоимость основных средств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принимается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равной остаточной стоимости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этого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имущества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 момент перехода на упрощенную систему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 xml:space="preserve">налогообложения.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Таким образом, расходы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 приобретение основных средств: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150 + 540*50% + 2540*10% = 674 тыс.руб. – расходы на приобретение ОС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Вычет страховых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взносов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 обязательное пенсионное страхование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при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данном порядке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начисления налога не производится согласно ст.346 НК РФ.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Ставка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налога составляет 15 % (ст. 346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НК РФ)</w:t>
      </w:r>
      <w:r w:rsidR="00016F78" w:rsidRPr="008C04A2">
        <w:rPr>
          <w:noProof/>
          <w:color w:val="000000"/>
          <w:sz w:val="28"/>
        </w:rPr>
        <w:t xml:space="preserve">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Таким образом, сумма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для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начисления налога: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(9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700 – 674- 8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200)*15% = 123,9 тыс.руб. – сумма налога исчисленная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Определим величину минимальную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налога, равную 1% от дохода: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9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700 * 1% = 97 тыс.руб – минимальная сумма налога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Минимальная сумма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 xml:space="preserve">меньше исчисленного налога, значит к оплате в бюджет 123,90 тыс.руб.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Из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расчетов видно, что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для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данной организации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выгоднее считать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сумму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налога альтернативным вариантом, где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объектом налогообложения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приняты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доходы, уменьшенные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 сумму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расходов.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5. Мехлесхоз во II квартале текущего года произвел сплав 25 тыс. м</w:t>
      </w:r>
      <w:r w:rsidRPr="008C04A2">
        <w:rPr>
          <w:iCs/>
          <w:noProof/>
          <w:color w:val="000000"/>
          <w:sz w:val="28"/>
          <w:szCs w:val="27"/>
          <w:vertAlign w:val="superscript"/>
        </w:rPr>
        <w:t>3</w:t>
      </w:r>
      <w:r w:rsidRPr="008C04A2">
        <w:rPr>
          <w:iCs/>
          <w:noProof/>
          <w:color w:val="000000"/>
          <w:sz w:val="28"/>
          <w:szCs w:val="27"/>
        </w:rPr>
        <w:t xml:space="preserve"> древесины в кошелях по реке Енисей на расстояние 120 км для деревообрабатывающего комбината.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Определите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ставку налога, налоговую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базу и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сумму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водного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налога.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Согласно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ст.333.10 НК РФ, при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использовании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водных объектов для целей лесосплава в плотах и кошелях налоговая база определяется как произведение объема древесины, сплавляемой в плотах и кошелях за налоговый период, выраженного в тысячах кубических метров, и расстояния сплава, выраженного в километрах, деленного на 100.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25*120/ 100 = 30 –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налоговая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база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Согласно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п. 1 ст. 333.12 НК РФ, налоговые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ставки устанавливаются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по бассейнам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рек, озер, морей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экономическим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районам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следующих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размерах: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4) при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использовании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водных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объектов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для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целей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лесосплава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плотах и кошелях: Бассейн реки, озера, моря: Енисей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Налоговая ставка 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 xml:space="preserve">рублях: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за 1 тыс. куб. м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сплавляемой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плотах 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кошелях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 xml:space="preserve">древесины: 1 585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на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каждые 100 км сплава Енисей: 2</w:t>
      </w:r>
    </w:p>
    <w:p w:rsidR="00016F78" w:rsidRPr="008C04A2" w:rsidRDefault="00016F78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30 *1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585* 25 = 1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188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750 руб.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30* 2* 1,2 = 72 руб.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1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188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750 + 72 = 1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188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822 руб. – водный налог</w:t>
      </w:r>
    </w:p>
    <w:p w:rsidR="00016F78" w:rsidRPr="008C04A2" w:rsidRDefault="00016F78" w:rsidP="00016F78">
      <w:pPr>
        <w:pStyle w:val="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5. Налогоплательщиком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было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направлено на инвестиции в ценные бумаги (ЦБ) 480 000 руб. В январе на сумму 420 000 руб. были приобретены акции ОАО «Мечта» и на сумму 60 000 руб. акции ОАО «Лето». В феврале все ЦБ были проданы. Выручка от продажи акций ОАО «Мечта» составила 540 000 руб., выручка от продажи акций АО «Лето» - 120 000 руб. В марте были приобретены ЦБ ЗАО «Север» на сумму 540 000 руб., после чего 60 000 руб. были перечислены налогоплательщику. В июне акции ЗАО «Север» были проданы за 660 000 руб., на 576 000 руб. были приобретены акции ОАО «Факел», а 60 000 руб. были перечислены налогоплательщику.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Определить: 1) сумму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дохода в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марте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месяце, с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которой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должен быть уплачен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налог;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2) сумму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налога, которая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подлежит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уплате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в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бюджет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в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марте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месяце;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3) сумму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дохода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в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июне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месяце, с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которой должен быть уплачен налог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iCs/>
          <w:noProof/>
          <w:color w:val="000000"/>
          <w:sz w:val="28"/>
          <w:szCs w:val="27"/>
        </w:rPr>
        <w:t>4) сумму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налога, которая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подлежит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доплате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в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бюджет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в</w:t>
      </w:r>
      <w:r w:rsidR="00016F78" w:rsidRPr="008C04A2">
        <w:rPr>
          <w:iCs/>
          <w:noProof/>
          <w:color w:val="000000"/>
          <w:sz w:val="28"/>
          <w:szCs w:val="27"/>
        </w:rPr>
        <w:t xml:space="preserve"> </w:t>
      </w:r>
      <w:r w:rsidRPr="008C04A2">
        <w:rPr>
          <w:iCs/>
          <w:noProof/>
          <w:color w:val="000000"/>
          <w:sz w:val="28"/>
          <w:szCs w:val="27"/>
        </w:rPr>
        <w:t>июне</w:t>
      </w:r>
      <w:r w:rsidR="00016F78" w:rsidRPr="008C04A2">
        <w:rPr>
          <w:noProof/>
          <w:color w:val="000000"/>
          <w:sz w:val="28"/>
        </w:rPr>
        <w:t xml:space="preserve"> 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1)В соответствии с абзацем 1 п. 3 ст. 214.1 НК РФ доход (убыток) по операциям купли-продажи ценных бумаг определяется как сумма доходов по совокупности сделок с ценными бумагами соответствующей категории, совершенных в течение налогового периода, за вычетом суммы убытков. В абзаце 2 п. 3 ст. 214.1 НК РФ указано, что доход по операциям купли-продажи ценных бумаг определяется как разница между суммами доходов, полученными от реализации ценных бумаг, и документально подтвержденными расходами на приобретение, реализацию и хранение ценных бумаг, фактически произведенными налогоплательщиком.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При определении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суммы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налога, мы руководствуемся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следующим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принципом: нельзя уменьшить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налогооблагаемую базу, в части произведенных расходов на имеющиеся (по остатку) ценные бумаги. Если бумаги, которые мы купили не проданы полностью, то и расходы нельзя полностью засчитывать.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Определим доход: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(540 + 120 - 420 - 60) = 180 тыс.руб – доход в марте нарастающим итогом.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Пунктом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8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ст.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214.1 Кодекса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предусмотрено, что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расчет 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уплата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суммы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налога осуществляется налоговым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агентом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по окончании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налогового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периода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или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при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осуществлении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им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выплаты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денежных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средств налогоплательщику до истечения очередного налогового периода.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Налог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подлежит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уплате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течение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одного месяца с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даты окончания налогового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периода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или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даты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выплаты денежных средств</w:t>
      </w:r>
      <w:r w:rsidRPr="008C04A2">
        <w:rPr>
          <w:noProof/>
          <w:color w:val="000000"/>
          <w:sz w:val="28"/>
        </w:rPr>
        <w:t>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Согласно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п.8 ст.214.1 НК РФ, при осуществлении выплаты денежных средств налоговым агентом до истечения очередного налогового периода налог уплачивается с доли дохода, определяемого в соответствии с настоящей статьей, соответствующей фактической сумме выплачиваемых денежных средств. Доля дохода определяется как произведение общей суммы дохода на отношение суммы выплаты к стоимостной оценке ценных бумаг, определяемой на дату выплаты денежных средств, по которым налоговый агент выступает в качестве брокера. При осуществлении выплаты денежных средств налогоплательщику более одного раза в течение налогового периода расчет суммы налога производится нарастающим итогом с зачетом ранее уплаченных сумм налога.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Отсюда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доля дохода при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осуществлении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денежной выплаты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сумме 60 тыс.руб.</w:t>
      </w:r>
      <w:r w:rsidR="00016F78" w:rsidRPr="008C04A2">
        <w:rPr>
          <w:noProof/>
          <w:color w:val="000000"/>
          <w:sz w:val="28"/>
          <w:szCs w:val="27"/>
        </w:rPr>
        <w:t xml:space="preserve">: </w:t>
      </w:r>
      <w:r w:rsidRPr="008C04A2">
        <w:rPr>
          <w:noProof/>
          <w:color w:val="000000"/>
          <w:sz w:val="28"/>
          <w:szCs w:val="27"/>
        </w:rPr>
        <w:t>540 тыс.руб.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–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стоимость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ценных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бумаг,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имеющихся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наличии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марте,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180 * 60 / 540 = 20 тыс.руб. – доля дохода в марте нарастающим итогом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2) Согласно ст.224 п.1 НК РФ, налоговая ставка устанавливается в размере 13 процентов.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20 * 13% = 2,6 тыс.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руб.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–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сумма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налога, которая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подлежит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уплате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бюджет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марте.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3) (660 –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540 + 540 –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420 + 120 – 60 + 60</w:t>
      </w:r>
      <w:r w:rsidR="00016F78" w:rsidRPr="008C04A2">
        <w:rPr>
          <w:noProof/>
          <w:color w:val="000000"/>
          <w:sz w:val="28"/>
          <w:szCs w:val="27"/>
        </w:rPr>
        <w:t>)</w:t>
      </w:r>
      <w:r w:rsidRPr="008C04A2">
        <w:rPr>
          <w:noProof/>
          <w:color w:val="000000"/>
          <w:sz w:val="28"/>
          <w:szCs w:val="27"/>
        </w:rPr>
        <w:t xml:space="preserve"> = 360 тыс. руб - доход в июне нарастающим итогом.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576 тыс.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руб.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–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стоимость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ценных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бумаг,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имеющихся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наличии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июне.</w:t>
      </w:r>
    </w:p>
    <w:p w:rsidR="00016F78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360 * (60 + 60) / 576 = 75 тыс.руб.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–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доля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дохода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в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июне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нарастающим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итогом.</w:t>
      </w:r>
    </w:p>
    <w:p w:rsidR="008C727B" w:rsidRPr="008C04A2" w:rsidRDefault="008C727B" w:rsidP="00016F78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8C04A2">
        <w:rPr>
          <w:noProof/>
          <w:color w:val="000000"/>
          <w:sz w:val="28"/>
          <w:szCs w:val="27"/>
        </w:rPr>
        <w:t>4) 75*13% - 2,6 = 7,15 тыс.руб.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–</w:t>
      </w:r>
      <w:r w:rsidR="00016F78" w:rsidRPr="008C04A2">
        <w:rPr>
          <w:noProof/>
          <w:color w:val="000000"/>
          <w:sz w:val="28"/>
          <w:szCs w:val="27"/>
        </w:rPr>
        <w:t xml:space="preserve"> </w:t>
      </w:r>
      <w:r w:rsidRPr="008C04A2">
        <w:rPr>
          <w:noProof/>
          <w:color w:val="000000"/>
          <w:sz w:val="28"/>
          <w:szCs w:val="27"/>
        </w:rPr>
        <w:t>сумма налога, которая подлежит доплате в бюджет в июне.</w:t>
      </w:r>
      <w:bookmarkStart w:id="0" w:name="_GoBack"/>
      <w:bookmarkEnd w:id="0"/>
    </w:p>
    <w:sectPr w:rsidR="008C727B" w:rsidRPr="008C04A2" w:rsidSect="00016F78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2CC" w:rsidRDefault="00F112CC" w:rsidP="00016F78">
      <w:r>
        <w:separator/>
      </w:r>
    </w:p>
  </w:endnote>
  <w:endnote w:type="continuationSeparator" w:id="0">
    <w:p w:rsidR="00F112CC" w:rsidRDefault="00F112CC" w:rsidP="00016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2CC" w:rsidRDefault="00F112CC" w:rsidP="00016F78">
      <w:r>
        <w:separator/>
      </w:r>
    </w:p>
  </w:footnote>
  <w:footnote w:type="continuationSeparator" w:id="0">
    <w:p w:rsidR="00F112CC" w:rsidRDefault="00F112CC" w:rsidP="00016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523B0"/>
    <w:multiLevelType w:val="multilevel"/>
    <w:tmpl w:val="A8265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E941B78"/>
    <w:multiLevelType w:val="multilevel"/>
    <w:tmpl w:val="F5DC9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727B"/>
    <w:rsid w:val="00016F78"/>
    <w:rsid w:val="00036614"/>
    <w:rsid w:val="00085E0E"/>
    <w:rsid w:val="000E6826"/>
    <w:rsid w:val="003C4E80"/>
    <w:rsid w:val="004E17D5"/>
    <w:rsid w:val="008C04A2"/>
    <w:rsid w:val="008C727B"/>
    <w:rsid w:val="00DE2AAB"/>
    <w:rsid w:val="00F1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80A47D-B20C-4910-B54A-67CED5374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C727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8C727B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016F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016F78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016F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016F78"/>
    <w:rPr>
      <w:rFonts w:cs="Times New Roman"/>
      <w:sz w:val="24"/>
      <w:szCs w:val="24"/>
    </w:rPr>
  </w:style>
  <w:style w:type="table" w:styleId="a8">
    <w:name w:val="Table Professional"/>
    <w:basedOn w:val="a1"/>
    <w:uiPriority w:val="99"/>
    <w:rsid w:val="00016F7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76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76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76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76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76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762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762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76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7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76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76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76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762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762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76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76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76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76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76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762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76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76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76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76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76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76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76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76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76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7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76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76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76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762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762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76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76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76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76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76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762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76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2762952">
                              <w:marLeft w:val="240"/>
                              <w:marRight w:val="24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76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76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76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76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76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762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76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2586</Words>
  <Characters>14746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2</vt:lpstr>
    </vt:vector>
  </TitlesOfParts>
  <Company>BSAU</Company>
  <LinksUpToDate>false</LinksUpToDate>
  <CharactersWithSpaces>17298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2</dc:title>
  <dc:subject/>
  <dc:creator>bibkk</dc:creator>
  <cp:keywords/>
  <dc:description/>
  <cp:lastModifiedBy>admin</cp:lastModifiedBy>
  <cp:revision>2</cp:revision>
  <dcterms:created xsi:type="dcterms:W3CDTF">2014-03-12T19:45:00Z</dcterms:created>
  <dcterms:modified xsi:type="dcterms:W3CDTF">2014-03-12T19:45:00Z</dcterms:modified>
</cp:coreProperties>
</file>