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EEC" w:rsidRPr="005D4EAB" w:rsidRDefault="00FF5EEC" w:rsidP="00FF5EEC">
      <w:pPr>
        <w:pStyle w:val="ConsTitle"/>
        <w:widowControl/>
        <w:spacing w:line="360" w:lineRule="auto"/>
        <w:jc w:val="center"/>
        <w:rPr>
          <w:sz w:val="28"/>
          <w:szCs w:val="28"/>
        </w:rPr>
      </w:pPr>
      <w:r w:rsidRPr="005D4EAB">
        <w:rPr>
          <w:sz w:val="28"/>
          <w:szCs w:val="28"/>
        </w:rPr>
        <w:t>НАЛОГООБЛОЖЕНИЕ ДОХОДОВ И ОПЕРАЦИЙ</w:t>
      </w:r>
    </w:p>
    <w:p w:rsidR="00FF5EEC" w:rsidRDefault="00FF5EEC" w:rsidP="00FF5EEC">
      <w:pPr>
        <w:pStyle w:val="ConsTitle"/>
        <w:widowControl/>
        <w:spacing w:line="360" w:lineRule="auto"/>
        <w:jc w:val="center"/>
        <w:rPr>
          <w:sz w:val="28"/>
          <w:szCs w:val="28"/>
        </w:rPr>
      </w:pPr>
      <w:r w:rsidRPr="005D4EAB">
        <w:rPr>
          <w:sz w:val="28"/>
          <w:szCs w:val="28"/>
        </w:rPr>
        <w:t>С КОРПОРАТИВНЫМИ ОБЛИГАЦИЯМИ</w:t>
      </w:r>
    </w:p>
    <w:p w:rsidR="00CA7341" w:rsidRDefault="00CA7341" w:rsidP="00FF5EEC">
      <w:pPr>
        <w:pStyle w:val="ConsTitle"/>
        <w:widowControl/>
        <w:spacing w:line="360" w:lineRule="auto"/>
        <w:jc w:val="center"/>
        <w:rPr>
          <w:sz w:val="28"/>
          <w:szCs w:val="28"/>
        </w:rPr>
      </w:pPr>
    </w:p>
    <w:p w:rsidR="00CA7341" w:rsidRPr="005D4EAB" w:rsidRDefault="00CA7341" w:rsidP="00FF5EEC">
      <w:pPr>
        <w:pStyle w:val="ConsTitle"/>
        <w:widowControl/>
        <w:spacing w:line="360" w:lineRule="auto"/>
        <w:jc w:val="center"/>
        <w:rPr>
          <w:sz w:val="28"/>
          <w:szCs w:val="28"/>
        </w:rPr>
      </w:pPr>
    </w:p>
    <w:p w:rsidR="00FF5EEC" w:rsidRDefault="00FF5EEC" w:rsidP="00FF5EEC">
      <w:pPr>
        <w:pStyle w:val="ConsNormal"/>
        <w:widowControl/>
        <w:spacing w:line="360" w:lineRule="auto"/>
        <w:ind w:firstLine="540"/>
        <w:jc w:val="center"/>
        <w:rPr>
          <w:b/>
          <w:bCs/>
          <w:sz w:val="28"/>
          <w:szCs w:val="28"/>
        </w:rPr>
      </w:pPr>
      <w:r>
        <w:rPr>
          <w:b/>
          <w:bCs/>
          <w:sz w:val="28"/>
          <w:szCs w:val="28"/>
        </w:rPr>
        <w:t>Содержание</w:t>
      </w:r>
    </w:p>
    <w:p w:rsidR="00FF5EEC" w:rsidRDefault="00FF5EEC" w:rsidP="00FF5EEC">
      <w:pPr>
        <w:pStyle w:val="ConsNormal"/>
        <w:widowControl/>
        <w:spacing w:line="360" w:lineRule="auto"/>
        <w:ind w:firstLine="540"/>
        <w:jc w:val="both"/>
        <w:rPr>
          <w:b/>
          <w:bCs/>
          <w:sz w:val="28"/>
          <w:szCs w:val="28"/>
        </w:rPr>
      </w:pPr>
    </w:p>
    <w:p w:rsidR="00FF5EEC" w:rsidRDefault="00FF5EEC" w:rsidP="00FF5EEC">
      <w:pPr>
        <w:pStyle w:val="ConsNormal"/>
        <w:widowControl/>
        <w:spacing w:line="360" w:lineRule="auto"/>
        <w:ind w:firstLine="540"/>
        <w:jc w:val="both"/>
        <w:rPr>
          <w:b/>
          <w:bCs/>
          <w:sz w:val="28"/>
          <w:szCs w:val="28"/>
        </w:rPr>
      </w:pPr>
    </w:p>
    <w:p w:rsidR="00FF5EEC" w:rsidRDefault="00FF5EEC" w:rsidP="00FF5EEC">
      <w:pPr>
        <w:pStyle w:val="ConsNormal"/>
        <w:widowControl/>
        <w:spacing w:line="360" w:lineRule="auto"/>
        <w:ind w:firstLine="540"/>
        <w:jc w:val="both"/>
        <w:rPr>
          <w:b/>
          <w:bCs/>
          <w:sz w:val="28"/>
          <w:szCs w:val="28"/>
        </w:rPr>
      </w:pPr>
    </w:p>
    <w:p w:rsidR="00FF5EEC" w:rsidRDefault="00FF5EEC" w:rsidP="00FF5EEC">
      <w:pPr>
        <w:pStyle w:val="ConsNormal"/>
        <w:widowControl/>
        <w:spacing w:line="360" w:lineRule="auto"/>
        <w:ind w:firstLine="540"/>
        <w:jc w:val="both"/>
        <w:rPr>
          <w:b/>
          <w:bCs/>
          <w:sz w:val="28"/>
          <w:szCs w:val="28"/>
        </w:rPr>
      </w:pPr>
      <w:r w:rsidRPr="00020A75">
        <w:rPr>
          <w:b/>
          <w:bCs/>
          <w:sz w:val="28"/>
          <w:szCs w:val="28"/>
        </w:rPr>
        <w:t>Введение</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3</w:t>
      </w:r>
    </w:p>
    <w:p w:rsidR="00FF5EEC" w:rsidRDefault="00FF5EEC" w:rsidP="00FF5EEC">
      <w:pPr>
        <w:pStyle w:val="ConsNormal"/>
        <w:widowControl/>
        <w:spacing w:line="360" w:lineRule="auto"/>
        <w:ind w:firstLine="540"/>
        <w:jc w:val="both"/>
        <w:rPr>
          <w:b/>
          <w:bCs/>
          <w:sz w:val="28"/>
          <w:szCs w:val="28"/>
        </w:rPr>
      </w:pPr>
      <w:r>
        <w:rPr>
          <w:b/>
          <w:bCs/>
          <w:sz w:val="28"/>
          <w:szCs w:val="28"/>
        </w:rPr>
        <w:t>Основная часть</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4</w:t>
      </w:r>
    </w:p>
    <w:p w:rsidR="00FF5EEC" w:rsidRDefault="00FF5EEC" w:rsidP="00FF5EEC">
      <w:pPr>
        <w:pStyle w:val="ConsNormal"/>
        <w:widowControl/>
        <w:spacing w:line="360" w:lineRule="auto"/>
        <w:ind w:firstLine="540"/>
        <w:jc w:val="both"/>
        <w:rPr>
          <w:b/>
          <w:bCs/>
          <w:sz w:val="28"/>
          <w:szCs w:val="28"/>
        </w:rPr>
      </w:pPr>
      <w:r w:rsidRPr="002B231B">
        <w:rPr>
          <w:b/>
          <w:bCs/>
          <w:sz w:val="28"/>
          <w:szCs w:val="28"/>
        </w:rPr>
        <w:t>Выводы</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22</w:t>
      </w:r>
    </w:p>
    <w:p w:rsidR="00FF5EEC" w:rsidRDefault="00FF5EEC" w:rsidP="00FF5EEC">
      <w:pPr>
        <w:pStyle w:val="ConsNormal"/>
        <w:widowControl/>
        <w:spacing w:line="360" w:lineRule="auto"/>
        <w:ind w:firstLine="540"/>
        <w:jc w:val="both"/>
        <w:rPr>
          <w:b/>
          <w:bCs/>
          <w:sz w:val="28"/>
          <w:szCs w:val="28"/>
        </w:rPr>
      </w:pPr>
      <w:r w:rsidRPr="00657891">
        <w:rPr>
          <w:b/>
          <w:bCs/>
          <w:sz w:val="28"/>
          <w:szCs w:val="28"/>
        </w:rPr>
        <w:t>Литература</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23</w:t>
      </w:r>
    </w:p>
    <w:p w:rsidR="00FF5EEC" w:rsidRPr="00020A75" w:rsidRDefault="00FF5EEC" w:rsidP="00FF5EEC">
      <w:pPr>
        <w:pStyle w:val="ConsNormal"/>
        <w:widowControl/>
        <w:spacing w:line="360" w:lineRule="auto"/>
        <w:ind w:firstLine="540"/>
        <w:jc w:val="both"/>
        <w:rPr>
          <w:b/>
          <w:bCs/>
          <w:sz w:val="28"/>
          <w:szCs w:val="28"/>
        </w:rPr>
      </w:pPr>
    </w:p>
    <w:p w:rsidR="00FF5EEC" w:rsidRDefault="00FF5EEC" w:rsidP="00FF5EEC"/>
    <w:p w:rsidR="00FF5EEC" w:rsidRPr="005D4EAB" w:rsidRDefault="00FF5EEC" w:rsidP="005D4EAB">
      <w:pPr>
        <w:pStyle w:val="ConsTitle"/>
        <w:widowControl/>
        <w:spacing w:line="360" w:lineRule="auto"/>
        <w:jc w:val="center"/>
        <w:rPr>
          <w:sz w:val="28"/>
          <w:szCs w:val="28"/>
        </w:rPr>
      </w:pPr>
    </w:p>
    <w:p w:rsidR="00FF5EEC" w:rsidRPr="00020A75" w:rsidRDefault="00FF5EEC" w:rsidP="00020A75">
      <w:pPr>
        <w:pStyle w:val="ConsNormal"/>
        <w:widowControl/>
        <w:spacing w:line="360" w:lineRule="auto"/>
        <w:ind w:firstLine="540"/>
        <w:jc w:val="both"/>
        <w:rPr>
          <w:b/>
          <w:bCs/>
          <w:sz w:val="28"/>
          <w:szCs w:val="28"/>
        </w:rPr>
      </w:pPr>
      <w:r>
        <w:rPr>
          <w:b/>
          <w:bCs/>
          <w:sz w:val="28"/>
          <w:szCs w:val="28"/>
        </w:rPr>
        <w:br w:type="page"/>
      </w:r>
      <w:r w:rsidR="00020A75" w:rsidRPr="00020A75">
        <w:rPr>
          <w:b/>
          <w:bCs/>
          <w:sz w:val="28"/>
          <w:szCs w:val="28"/>
        </w:rPr>
        <w:t>Введение</w:t>
      </w:r>
    </w:p>
    <w:p w:rsidR="00020A75" w:rsidRPr="005D4EAB" w:rsidRDefault="00020A75" w:rsidP="005D4EAB">
      <w:pPr>
        <w:pStyle w:val="ConsNonformat"/>
        <w:widowControl/>
        <w:spacing w:line="360" w:lineRule="auto"/>
        <w:jc w:val="both"/>
        <w:rPr>
          <w:sz w:val="28"/>
          <w:szCs w:val="28"/>
        </w:rPr>
      </w:pP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Вопросы налогообложения доходов и операций с ценными бумагами в последнее время приобрели особую сложность и актуальность. Сложность заключается в постоянных законодательных корректировках порядка, ставок и базы налогообложения, которые могут быть изменены даже в пределах одного отчетного года. Актуальность этих вопросов определяется тем, что большинство организаций имеет на балансе различные ценные бумаги (портфель ценных бумаг) и осуществляет операции с ними, не являясь профессиональными участниками рынка ценных бумаг. Налогообложение операций с ценными бумагами снижает доход и эффективность действий всех участников фондового рынка.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Как известно, ценные бумаги подразделяются на долговые (выпущены в связи с долговыми обязательствами) и долевые (эмитированы в связи с вкладами в уставные капиталы других организаций). Доходы по ценным бумагам могут быть получены:</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от владения ими в период нахождения у инвестора (купонный или дивидендный доход);</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при проведении операций с ценными бумагами (прибыль от реализации или другого выбытия).</w:t>
      </w:r>
    </w:p>
    <w:p w:rsidR="00020A75" w:rsidRDefault="00020A75" w:rsidP="005D4EAB">
      <w:pPr>
        <w:pStyle w:val="ConsNormal"/>
        <w:widowControl/>
        <w:spacing w:line="360" w:lineRule="auto"/>
        <w:ind w:firstLine="540"/>
        <w:jc w:val="both"/>
        <w:rPr>
          <w:b/>
          <w:bCs/>
          <w:sz w:val="28"/>
          <w:szCs w:val="28"/>
        </w:rPr>
      </w:pPr>
      <w:r>
        <w:rPr>
          <w:b/>
          <w:bCs/>
          <w:sz w:val="28"/>
          <w:szCs w:val="28"/>
        </w:rPr>
        <w:br w:type="page"/>
        <w:t>Основная часть</w:t>
      </w:r>
    </w:p>
    <w:p w:rsidR="00020A75" w:rsidRDefault="00020A75" w:rsidP="005D4EAB">
      <w:pPr>
        <w:pStyle w:val="ConsNormal"/>
        <w:widowControl/>
        <w:spacing w:line="360" w:lineRule="auto"/>
        <w:ind w:firstLine="540"/>
        <w:jc w:val="both"/>
        <w:rPr>
          <w:b/>
          <w:bCs/>
          <w:sz w:val="28"/>
          <w:szCs w:val="28"/>
        </w:rPr>
      </w:pPr>
    </w:p>
    <w:p w:rsidR="00FF5EEC" w:rsidRPr="005D4EAB" w:rsidRDefault="00FF5EEC" w:rsidP="005D4EAB">
      <w:pPr>
        <w:pStyle w:val="ConsNormal"/>
        <w:widowControl/>
        <w:spacing w:line="360" w:lineRule="auto"/>
        <w:ind w:firstLine="540"/>
        <w:jc w:val="both"/>
        <w:rPr>
          <w:sz w:val="28"/>
          <w:szCs w:val="28"/>
        </w:rPr>
      </w:pPr>
      <w:r w:rsidRPr="005D4EAB">
        <w:rPr>
          <w:sz w:val="28"/>
          <w:szCs w:val="28"/>
        </w:rPr>
        <w:t>Общие вопросы налогообложения операций с ценными бумагами были рассмотрены нами ранее, включая операции с акциями. Представляет интерес рассмотреть особенности налогообложения операций с другим весьма распространенным видом - долговыми ценными бумагами, к числу которых относятся корпоративные облигации.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Наиболее распространенными долговыми ценными бумагами являются корпоративные облигации предприятий, государственные и муниципальные ценные бумаги, векселя.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настоящее время все большую распространенность приобретает такой инструмент финансового рынка, как корпоративные облигации. Облигация - это один из основных видов ценных бумаг (ст. 143 ГК РФ). Облигация опосредует отношения займа между владельцем облигации (кредитором, заимодавцем) и лицом, ее выпустившим (эмитентом). При этом применяются правила ст. 807 - 818 ГК РФ о договоре займа, если иное не предусмотрено действующим законодательством.</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Приобретатель (владелец) облигации рассчитывает в итоге получить доход. Согласно ст. 816 ГК РФ 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Предоставляется также право на получение дохода в виде фиксированного процента от номинальной стоимости облигации либо иные имущественные права. В данном случае доход от облигаций называется процентным. Если облигация приобретена по цене ниже номинальной, то доходом по ней будет также (или только) разница между ценой погашения (номинальной стоимостью) и ценой размещения (приобретения), называемая дисконтом. Таким образом, с точки зрения приносимого дохода облигации бывают процентные (купонные), дисконтные (бескупонные) и дисконтно-процентные.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По классификации ценных бумаг с точки зрения правил их выпуска (эмиссионные - неэмиссионные) облигация относится к эмиссионным ценным бумагам (ст. 2 Закона "О рынке ценных бумаг"). Это значит, что выпуск облигаций происходит с разрешения и под контролем государственных органов, а эмитент обязан принять специальные меры по раскрытию информации о себе и о выпущенных облигациях. Обязательными признаками эмиссионных ценных бумаг является то, что они размещаются выпусками, то есть массовыми тиражами, при этом каждая бумага внутри одного выпуска имеет равные объем и сроки осуществления прав по ней вне зависимости от времени ее приобретения.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С точки зрения определения субъекта прав по облигации - того, кому должен возвращаться заем и выплачиваться доход, облигации в качестве эмиссионных ценных бумаг могут быть именными или предъявительскими. При этом первые предполагают ведение реестра их владельцев (ст. 2, 16 Закона "О рынке ценных бумаг").</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По форме существования облигации бывают документарные (в бумажной форме) и бездокументарные, существующие только в виде записи на счетах. Именные облигации выпускаются в обеих формах, предъявительские - только в документарной, которая требует обязательного изготовления сертификата облигаций.</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зависимости от того, кто выпускает и является обязанным лицом, облигации делятся на государственные, муниципальные, Банка России и корпоративные (юридических лиц). Цели выпуска облигаций различны: у государства - покрытие бюджетного дефицита, у Банка России - "связывание" свободных средств коммерческих банков (обе цели также имеют в виду противодействие инфляционным тенденциям), у хозяйствующих субъектов - привлечение инвестиций для пополнения оборотных средств, развития производства и т.д.</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 этом для корпоративных эмитентов облигации имеют ряд преимуществ по сравнению с другими способами привлечения средств: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по сравнению с акциями - не происходит так называемого разводнения уставного капитала, в результате чего снижаются доли прежних акционеров, в том числе владельцев контрольного и блокирующего пакетов;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по сравнению с кредитом и векселями - можно добиться снижения стоимости заимствования за счет обращения к более широкому кругу кредиторов и так называемого эффекта секьюритизации займа (securities (англ.) - ценные бумаги), состоящего в повышении уровня управляемости финансовыми потоками организации путем использования инструментов и механизмов фондового рынка.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Правом выпуска и размещения корпоративных облигаций обладают организации всех форм собственности и любых организационно-правовых форм, но только в случаях, предусмотренных действующим законодательством (ст. 816 ГК РФ). При этом имеются следующие ограничения по выпуску облигаций:</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облигации могут размещаться только после полной оплаты уставного капитала (под размещением эмиссионных ценных бумаг понимается отчуждение эмитентом эмиссионных ценных бумаг первым владельцам путем заключения гражданско-правовых сделок);</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при отсутствии обеспечения, предоставленного компании третьими лицами с целью гарантии выполнения обязательств перед владельцами облигаций, размещение облигаций допускается не ранее третьего года существования компании при условии надлежащего утверждения к этому времени двух годовых балансов;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компания вправе размещать облигации на сумму, не превышающую размера ее уставного капитала или величины обеспечения, предоставленного в этих целях третьими лицами;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акционерное общество не вправе размещать облигации, конвертируемые в акции этой компании, если количество объявленных акций определенных категорий и типов меньше количества акций, право на приобретение которых предоставляют такие облигации.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Компания-эмитент выполняет три типа операций с облигациями, подлежащие бухгалтерскому и налоговому учету: выпуск и размещение; выплата процентов и других расходов, связанных с обслуживанием облигационного займа; погашение. При этом последняя операция может осуществляться как по истечении срока обращения облигации, так и до наступления этого момента (в целях налогообложения не имеет значения, по чьей - инвестора или эмитента - инициативе это делается).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Порядок выпуска облигаций определен Постановлением ФКЦБ N 03-30/пс "О стандартах эмиссии ценных бумаг и регистрации проспектов ценных бумаг", утвержденным 18 июня 2003 г. Должны быть выполнены все требования, установленные этим документом, в том числе касающиеся государственной регистрации выпуска облигаций и регистрации проспекта эмиссии, довольно сложного по содержанию. Условия государственной регистрации выпуска (дополнительного выпуска) и проспектов эмиссии изложены в нормативных документах (Постановление ФКЦБ РФ от 18.06.2003 г. N 03-30/пс). Государственная регистрация может не относиться к проспекту эмиссии, если объем эмиссии (номинальная стоимость облигаций) не превышает 5 млн. руб., а выпускать облигации на такую или меньшую сумму нет смысла. Целью эмиссии облигаций обычно является финансирование определенного инвестиционного проекта, а для этого, как правило, требуется гораздо больше средств.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Но главная проблема состоит не в соблюдении достаточно сложных формальных требований, а в возможности размещения облигаций. Решение о выпуске облигаций может быть принято только в том случае, если есть уверенность, что их удастся разместить. Проще всего размещать облигации по закрытой подписке, когда в соответствии с решением о размещении облигаций определен круг лиц, среди которых акционерное общество намерено их разместить. Иными словами, нужно заранее договориться с потенциальными инвесторами - физическими и юридическими лицами, заручиться их согласием приобрести облигации. К тому же размещение облигаций по закрытой подписке обойдется дешевле, чем по открытой подписке.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Если размещать облигации по открытой подписке, то необходим андеррайтер (посредник), в роли которого обычно выступает банк. При этом целесообразно заключить договор с андеррайтером, предусматривающий гарантии размещения всего выпуска облигаций, если банк не разместит часть выпуска облигаций третьим лицам, он будет вынужден ее приобрести.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Размер комиссионного вознаграждения банку законодательством не регламентируется, этот вопрос решается по соглашению сторон, но в соответствии с обычаями делового оборота, - чем больше сумма эмиссии, тем меньше процент комиссионного вознаграждения от объема эмиссии.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У облигаций есть ряд преимуществ перед акциями: владелец облигаций не участвует в управлении акционерным обществом; проценты по облигациям (или купонные и иные аналогичные выплаты владельцам облигаций) относятся к внереализационным расходам и уменьшают облагаемую налогом прибыль, а дивиденды по акциям выплачиваются из чистой прибыли.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Услуги, связанные с размещением облигаций, облагаются НДС. Как известно, НДС по услугам на непроизводственные нужды подлежит отнесению (покрытию) за счет тех же источников финансирования, что и сами услуги. Налог на операции с ценными бумагами уплачивается за счет собственных средств организации, поскольку уплата его за счет финансовых результатов законодательством не предусмотрена.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Расходы по выплате дохода и информационно-техническому обслуживанию займа требуют специального рассмотрения. С 1 июля 1999 г. проценты, уплачиваемые эмитентом по облигациям, обращение которых осуществляется через организаторов торговли на рынке ценных бумаг, имеющих лицензию Федеральной комиссии по рынку ценных бумаг, включаются в состав внереализационных расходов. Для целей налогообложения затраты по уплате указанных процентов принимаются в пределах действующей ставки рефинансирования Банка России, увеличенной на три пункта.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По облигациям, условиями выпуска которых не предусмотрена выплата процентов, к проценту приравнивается разница между номинальной стоимостью и ценой первичного размещения облигаций (дисконт). При этом проценты (дисконт), начисляемые исходя из установленного условиями выпуска срока обращения облигаций, в целях налогообложения принимаются в пределах процентов (дисконта), начисленных при погашении облигаций за время их фактического обращения.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Доход по облигациям, образующийся у держателя ценной бумаги, может быть выражен в виде: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процентов, начисляемых на сумму основного долга. По облигациям рассчитывается накопленный процентный (купонный) доход (часть процентного дохода, выплата которого предусмотрена условиями выпуска таких ценных бумаг), который рассчитывается пропорционально количеству дней, прошедших с даты выпуска ценной бумаги или даты выплаты предшествующего купонного дохода;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дисконта, когда ценная бумага приобретается за меньшую сумму, чем ее номинальная стоимость. Доход у держателя ценной бумаги образуется как разница между ценой обратной покупки (погашения) и ценой приобретения ценной бумаги.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Согласно п. 3 ст. 43 НК РФ любой заранее заявленный (установленный) доход, в том числе в виде дисконта, полученный по долговому обязательству любого вида независимо от способа его оформления, признается процентами. Поэтому в дальнейшем изложении будет использоваться термин "процентный доход", под которым следует понимать также и доход в виде дисконта.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Доходы, полученные за время нахождения ценных бумаг у организации, при налогообложении прибыли отражают как внереализационные доходы, в бухгалтерском учете (когда это не является предметом деятельности организации) - как операционные доходы. При этом в налоговом учете при методе начисления: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если срок нахождения ценных бумаг в организации приходится более чем на один отчетный период, то доход признается полученным и включается в состав доходов на конец каждого отчетного периода;</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если ценные бумаги реализуются или выбывают (в т.ч. погашаются) до истечения отчетного периода, то доход признается полученным и включается в состав соответствующих доходов на дату погашения ценной бумаги.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бухгалтерском учете во всех случаях проценты начисляются в соответствии с условиями выпуска ценных бумаг.</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Таким образом, имеет место расхождение в дате признания процентов по долговым ценным бумагам между налоговым и бухгалтерским учетом. Поэтому, в случаях, когда в бухгалтерском учете доход по ценным бумагам начисляется не на конец отчетного периода, а на другую дату, или вообще в данном отчетном периоде не начисляется, в целях налогообложения необходимо специально рассчитать его сумму, приходящуюся на отчетный период. Сумма процентов рассчитывается исходя из установленной доходности и срока фактического владения ценными бумагами в отчетном периоде. Уровень доходности, в свою очередь, устанавливается в соответствии с условиями эмиссии ценных бумаг.</w:t>
      </w:r>
    </w:p>
    <w:p w:rsidR="005D4EAB" w:rsidRDefault="00FF5EEC" w:rsidP="005D4EAB">
      <w:pPr>
        <w:pStyle w:val="ConsNormal"/>
        <w:widowControl/>
        <w:spacing w:line="360" w:lineRule="auto"/>
        <w:ind w:firstLine="540"/>
        <w:jc w:val="both"/>
        <w:rPr>
          <w:sz w:val="28"/>
          <w:szCs w:val="28"/>
        </w:rPr>
      </w:pPr>
      <w:r w:rsidRPr="005D4EAB">
        <w:rPr>
          <w:sz w:val="28"/>
          <w:szCs w:val="28"/>
        </w:rPr>
        <w:t>В НК РФ установлены требования к ведению аналитического учета доходов по долговым обязательствам. Предусмотрено, что организация отражает сумму доходов в сумме причитающихся процентов отдельно по каждому долговому обязательству в соответствии с условиями эмиссии. При кассовом методе проценты за пользование заемными средствами учитываются в составе доходов в момент поступления денежных средств на расчетный счет или в кассу организации, а при ином способе погашения задолженности - в момент такого погашения. Так как порядок учета доходов по ценным бумагам в бухгалтерском и налоговом учете при методе начисления различается, следует произвести оценку имеющихся на балансе ценных бумаг в порядке</w:t>
      </w:r>
      <w:r w:rsidR="005D4EAB">
        <w:rPr>
          <w:sz w:val="28"/>
          <w:szCs w:val="28"/>
        </w:rPr>
        <w:t>.</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Под операциями с ценными бумагами понимаются операции по их реализации или иному выбытию, в том числе по их погашению. При этом порядок налогообложения этих операций является общим для долговых и долевых ценных бумаг.</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целях налогообложения все ценные бумаги разделяются на обращающиеся и не обращающиеся на организованном рынке ценных бумаг (ОРЦБ).</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Ценные бумаги признаются обращающимися на ОРЦБ, если они допущены к обращению хотя бы одним организатором торговли, имеющим на это право, и имеется информация об их ценах (котировках) в средствах массовой информации. Эта информация может быть представлена любому заинтересованному лицу в течение трех лет после даты совершения операций с ценными бумагами. Методическими рекомендациями к гл. 25 НК РФ установлено, что если организация не располагает информацией организатора торговли или иного уполномоченного лица, то ценные бумаги признаются не обращающимися на ОРЦБ. Налоговая база по этим операциям определяется отдельно от других доходов и расходов организации. Также отдельно рассчитывается налоговая база по операциям с ценными бумагами, обращающимися на ОРЦБ, и налоговая база по операциям с ценными бумагами, не обращающимися на ОРЦБ. Датой признания доходов и расходов по операциям с ценными бумагами является дата их реализации или прочего выбытия.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Рассмотрим общие положения по определению доходов и расходов по операциям с корпоративными облигациями. Выручка организации от операций по реализации или иному выбытию ценных бумаг (в том числе от погашения) определяется из:</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цены реализации или иного выбытия ценной бумаги;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суммы накопленного процентного (купонного) дохода, уплаченной покупателем или выплаченной эмитентом. При этом в доход не должны включаться суммы процентного (купонного) дохода, ранее учтенные при налогообложении.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 определении дохода следует учесть следующее.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инструкции по заполнению декларации по налогу на прибыль предусмотрено, что доходом считается в том числе процентный доход (процент в виде дисконта), ранее учтенный в целях налогообложения по начислению. Он показан в декларации как внереализационный доход. Поэтому, чтобы избежать двойного налогообложения, в момент реализации или выбытия ценных бумаг производится корректировка дохода: проценты, ранее отраженные в декларации, показываются в составе внереализационных расходов.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Цена реализации и выбытия ценных бумаг должна соответствовать их рыночной стоимости.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Рыночной ценой ценных бумаг, обращающихся на ОРЦБ, признается фактическая цена реализации или иного выбытия ценных бумаг, если она находится в интервале между минимальной и максимальной ценами сделок (интервал цен) с указанной ценной бумагой, зарегистрированной организатором торговли на рынке ценных бумаг на дату совершения соответствующей сделки. Организация самостоятельно выбирает организатора торговли, значения интервала цен которого будут использованы для целей налогообложения. Если, когда ценные бумаги, обращающиеся на ОРЦБ, реализуются на внебиржевом рынке, цена может быть ниже минимальной цены сделок на организованном рынке. Тогда в целях налогообложения результат сделки подлежит корректировке на величину превышения минимальной границы цены сделки над ценой реализации. Минимальная цена сделки на ОРЦБ принимается на дату совершения сделки или на дату ближайших торгов за 12 предыдущих месяцев.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Для ценных бумаг, которые не обращаются на ОРЦБ, при исчислении налога на прибыль также используются цены по сделкам с аналогичными (идентичными, однородными) ценными бумагами на дату ближайших торгов, состоявшихся в течение последних 12 месяцев. Фактическая цена реализации или иного выбытия принимается в целях налогообложения, если она находится в интервале цен по аналогичным (идентичным, однородным) ценным бумагам, зарегистрированным организатором торговли на рынке ценных бумаг, или же если не более чем 20% отклоняется в сторону повышения или понижения от средневзвешенной цены аналогичной (идентичной, однородной) ценной бумаги.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 отсутствии информации о результатах торгов по аналогичным (идентичным, однородным) ценным бумагам фактическая цена сделки принимается для целей налогообложения в том случае, если она не более чем на 20% отличается от расчетной цены этой ценной бумаги, которая может быть определена на дату заключения сделки с учетом конкретных условий, особенностей обращения и цены ценной бумаги и иных показателей, информация о которых может служить основанием для такого расчета. Для определения расчетной цены по долговым ценным бумагам может быть использована рыночная величина ставки ссудного процента на соответствующий срок в соответствующей валюте. Согласно Методическим рекомендациям к гл. 25 НК РФ в качестве рыночной ставки ссудного процента может быть использована ставка рефинансирования ЦБ РФ.</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Расходы при реализации или ином выбытии ценных бумаг включают:</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стоимость приобретения ценной бумаги, включая расходы на ее приобретение;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затраты на реализацию;</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суммы накопленного процентного (купонного) дохода, уплаченные организацией продавцу ценной бумаги. При этом в расход не включаются суммы накопленного процентного (купонного) дохода, ранее учтенные при налогообложении. По государственным и муниципальным ценным бумагам расходы учитываются без сумм процентного дохода, уплаченных продавцу.</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качестве расходов признаются лишь обоснованные и документально подтвержденные затраты, осуществленные организацией. При этом расходы, связанные с приобретением и реализацией ценных бумаг, включают суммы НДС. Если организация переоценивала ценные бумаги по рыночной стоимости, то суммы переоценки не учитываются при определении налоговой базы при исчислении налога на прибыль.</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 списании стоимости выбывающих ценных бумаг на расходы организация может использовать один из следующих методов: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по стоимости первых по времени приобретений (ФИФО);</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по стоимости последних по времени приобретений (ЛИФО);</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по стоимости единицы.</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Выбранный организацией метод утверждается в приказе по учетной политике в целях налогообложения.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Организации, получившие убыток от операций с ценными бумагами в предыдущем налоговом периоде или в предыдущие налоговые периоды, вправе уменьшить налоговую базу, полученную по операциям с ценными бумагами в отчетном (налоговом) периоде, то есть перенести указанные убытки на будущее.</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В соответствии с порядком, установленным в НК РФ, убытки могут быть перенесены в течение 10 лет, следующих за налоговым периодом, в котором был получен убыток. При этом на покрытие убытка может быть направлена сумма, не превышающая 30% налоговой базы по операциям с ценными бумагами в отчетном (налоговом) периоде. Исключением являются убытки от реализации или иного выбытия ценных бумаг, полученных первичными владельцами при новации. На покрытие этих убытков может быть направлена прибыль от реализации или выбытия любых ценных бумаг и без ограничения в 30%.</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Убытки от операций с ценными бумагами, полученные в предыдущем периоде, покрываются раздельно по ценным бумагам, обращающимся и не обращающимся на организованном рынке за счет прибыли по соответствующей категории ценных бумаг. Так, убытки от операций с ценными бумагами, обращающимися на ОРЦБ, могут быть отнесены на уменьшение налоговой базы от операций с такими ценными бумагами, а убытки от операций с ценными бумагами, не обращающимися на ОРЦБ, полученные в предыдущем налоговом периоде, могут быть отнесены на уменьшение налоговой базы от операций по реализации данной категории ценных бумаг.</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Налогообложение операций с корпоративными облигациями имеет ряд особенностей. В бухгалтерском учете у эмитента и держателя облигации выплата и получение дохода в форме процентов и в форме дисконта отражаются, как указано выше, по-разному. Опирается это на норму п. 3 ст. 43 НК РФ, согласно которой процентами признается любой заранее заявленный (установленный) доход, в том числе в виде дисконта, полученный по долговому обязательству любого вида (независимо от способа его оформления).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Изменения в налогообложении выплачиваемого эмитентом облигации дохода коснулись только тех случаев, когда доходы выплачиваются по облигациям, обращение которых осуществляется через организаторов торговли на рынке ценных бумаг, имеющих лицензию ФКЦБ. Во всех остальных случаях доходы, выплачиваемые по облигациям, эмитент может не учитывать в целях налогообложения.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На уменьшение налогооблагаемой прибыли относятся только доходы по облигациям, обращение которых осуществляется через организаторов торговли на рынке ценных бумаг, имеющих лицензию ФКЦБ. В этой связи следует уточнить содержание терминов "обращение" и "размещение". В соответствии со ст. 2 Закона "О рынке ценных бумаг" обращение ценных бумаг - это заключение гражданско-правовых сделок, влекущих переход прав собственности на ценные бумаги. Размещение же эмиссионных ценных бумаг - это отчуждение эмиссионных ценных бумаг эмитентом первым владельцам путем заключения гражданско-правовых сделок.</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Таким образом, "обращение" облигаций не включает в себя их "размещение". Это объясняется тем, что при размещении не происходит перехода прав собственности на облигации от эмитента к инвестору, так как эмитент не может иметь права собственности на ценную бумагу, еще не существующую в качестве таковой, - в качестве обязательства эмитента перед инвестором, возникающего только в тот момент, когда последний становится владельцем облигации в установленном законом порядке. Описанное соотношение понятий "обращение" и "размещение" подтверждается и Законом "О рынке ценных бумаг" (ст. 14, 17, 19, 42).</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Таким образом, размещение облигаций через организаторов торговли на рынке ценных бумаг, имеющих лицензию ФКЦБ, не является условием включения выплачиваемого по облигациям дохода в состав внереализационных доходов в целях налогообложения. Иными словами, можно вполне представить ситуацию, когда размещенные в ином порядке облигации в какой-то момент начинают обращаться через организаторов торговли на рынке ценных бумаг, имеющих лицензию ФКЦБ, и с этого момента эмитент получает право принимать выплачиваемые по этим облигациям доходы в целях налогообложения.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Ранее внереализационные доходы безоговорочно включались в состав налогооблагаемой прибыли "по начислению" и организациям было невыгодно применять право доведения долговых ценных бумаг до номинальной стоимости с целью повышения точности информации, предоставляемой пользователям бухгалтерской отчетности. В настоящее время, опираясь на постановления Конституционного Суда и Президиума ВАС РФ, организация всегда может доказать правомерность налогообложения только реально полученных доходов, возможность улучшения финансовых показателей своей деятельности за счет отражения нереализованной прибыли может стать достаточным стимулом для применения рассматриваемого способа учета. Особенно это касается тех организаций, которые заинтересованы в привлечении инвестиций.</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Отметим, что резерв под обесценение облигаций, котирующихся на ОРЦБ, сейчас создается. Такая возможность была предусмотрена п. 3.5 Приказа Минфина РФ N 2, но отменена впоследствии п. 45 Положения по ведению бухгалтерского учета, который установил, что указанный резерв создается не под любые котирующиеся ценные бумаги, а только под акции. Впоследствии Приказ Минфина РФ от 10.12.02 N 126н (п. 4, 38) подтвердил необходимость образования резерва под обесценение финансовых вложений (в т.ч. и долговых ценных бумаг) на величину разницы между учетной стоимостью и расчетной стоимостью таких финансовых вложений. При этом коммерческая организация образует указанный резерв за счет финансовых результатов организации (в составе операционных расходов), а некоммерческая - за счет увеличения расходов.</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При налогообложении купонного дохода важно обосновать, при каких условиях купонный доход может быть признан в целях бухгалтерского учета доходом от обычных видов деятельности и какие в связи с этим могут возникнуть сложности в области налогообложения.</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Согласно п. 64 Приказа Минфина РФ N 60н в Отчете о прибылях и убытках по статье "Выручка (нетто) от продажи товаров, продукции, работ, услуг (за минусом налога на добавленную стоимость, акцизов и аналогичных обязательных платежей)" наряду с выручкой от продажи продукции и товаров и поступлениями, связанными с выполнением работ и услуг, показываются также поступления, связанные с осуществлением хозяйственных операций (отдельными фактами хозяйственной деятельности), которые признаны организацией доходами от обычных видов деятельности в соответствии с условиями ПБУ 9/99.</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Типичным примером таких поступлений являются операционные по своей природе доходы по ценным бумагам. Один из этих примеров приведен в п. 5 ПБУ 9/99: "...в организациях, предметом деятельности которых является участие в уставных капиталах других организаций, выручкой считаются поступления, получение которых связано с этой деятельностью". Очевидно, что дивиденды (часть прибыли, полученной эмитентом акций) как форма указанного поступления не являются следствием продажи (реализации) эмитенту каких-либо ценностей, работ, услуг. Но проценты по облигациям при определенных условиях могут быть признаны доходами от обычных видов деятельности. Каковы же эти условия? Согласно высказанным на сегодня точкам зрения доходами от обычных видов деятельности признаются доходы от следующих видов деятельности: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указанной в учредительных документах организации в качестве предмета деятельности в соответствии с п. 2 ст. 52 ГК РФ;</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отвечающей сформулированным в п. 1 ст. 2 ГК РФ признакам предпринимательской деятельности;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 составляющие существенную часть (обычно имеются в виду пять и более процентов) всех доходов организации, хотя формально ПБУ 9/99 такого требования не содержит.</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Основным и достаточным считается второй критерий, особенно если определяющий признак предпринимательской деятельности проявляется в систематическом, регулярном (более одного квартала) получении доходов. Но этот критерий недостаточен для квалификации каких-либо доходов в качестве доходов от основной деятельности.</w:t>
      </w:r>
    </w:p>
    <w:p w:rsidR="00FF5EEC" w:rsidRPr="005D4EAB" w:rsidRDefault="00FF5EEC" w:rsidP="005D4EAB">
      <w:pPr>
        <w:pStyle w:val="ConsNormal"/>
        <w:widowControl/>
        <w:spacing w:line="360" w:lineRule="auto"/>
        <w:ind w:firstLine="540"/>
        <w:jc w:val="both"/>
        <w:rPr>
          <w:sz w:val="28"/>
          <w:szCs w:val="28"/>
        </w:rPr>
      </w:pPr>
      <w:r w:rsidRPr="005D4EAB">
        <w:rPr>
          <w:sz w:val="28"/>
          <w:szCs w:val="28"/>
        </w:rPr>
        <w:t>Если следовать такой логике, то предметом деятельности организации и соответственно доходами от обычных видов деятельности придется считать любые получаемые чаще, чем один раз в год, доходы по ценным бумагам, даже в том случае, если учитываются ежеквартальные проценты по единственной облигации, поступившей в организацию практически случайно по договору купли-продажи товаров. В результате в принципе исчезает такой вид операционных доходов, как "проценты и иные доходы по ценным бумагам", предусмотренный п. 7 ПБУ 9/99. Кроме того, у многих организаций исчезает или, по меньшей мере, существенно затрудняется финансовая и инвестиционная деятельность в качестве направлений оттока и притока денежных средств. Такая ситуация не будет способствовать выполнению основной задачи бухгалтерского учета и отчетности, состоящей в формировании полной и достоверной информации о деятельности организации и ее имущественном положении (п. 3 ст. 1 Закона "О бухгалтерском учете"). Для признания операционных по своей природе доходов доходами от обычных видов деятельности необходимо сочетание первого или второго из указанных выше критериев с признаком существенности.</w:t>
      </w:r>
    </w:p>
    <w:p w:rsidR="00020A75" w:rsidRPr="002B231B" w:rsidRDefault="00020A75" w:rsidP="005D4EAB">
      <w:pPr>
        <w:pStyle w:val="ConsNormal"/>
        <w:widowControl/>
        <w:spacing w:line="360" w:lineRule="auto"/>
        <w:ind w:firstLine="540"/>
        <w:jc w:val="both"/>
        <w:rPr>
          <w:b/>
          <w:bCs/>
          <w:sz w:val="28"/>
          <w:szCs w:val="28"/>
        </w:rPr>
      </w:pPr>
      <w:r>
        <w:rPr>
          <w:sz w:val="28"/>
          <w:szCs w:val="28"/>
        </w:rPr>
        <w:br w:type="page"/>
      </w:r>
      <w:r w:rsidRPr="002B231B">
        <w:rPr>
          <w:b/>
          <w:bCs/>
          <w:sz w:val="28"/>
          <w:szCs w:val="28"/>
        </w:rPr>
        <w:t>Выводы</w:t>
      </w:r>
    </w:p>
    <w:p w:rsidR="00020A75" w:rsidRDefault="00020A75" w:rsidP="005D4EAB">
      <w:pPr>
        <w:pStyle w:val="ConsNormal"/>
        <w:widowControl/>
        <w:spacing w:line="360" w:lineRule="auto"/>
        <w:ind w:firstLine="540"/>
        <w:jc w:val="both"/>
        <w:rPr>
          <w:sz w:val="28"/>
          <w:szCs w:val="28"/>
        </w:rPr>
      </w:pPr>
    </w:p>
    <w:p w:rsidR="00FF5EEC" w:rsidRPr="005D4EAB" w:rsidRDefault="00FF5EEC" w:rsidP="005D4EAB">
      <w:pPr>
        <w:pStyle w:val="ConsNormal"/>
        <w:widowControl/>
        <w:spacing w:line="360" w:lineRule="auto"/>
        <w:ind w:firstLine="540"/>
        <w:jc w:val="both"/>
        <w:rPr>
          <w:sz w:val="28"/>
          <w:szCs w:val="28"/>
        </w:rPr>
      </w:pPr>
      <w:r w:rsidRPr="005D4EAB">
        <w:rPr>
          <w:sz w:val="28"/>
          <w:szCs w:val="28"/>
        </w:rPr>
        <w:t>Таким образом, главная трудность в налогообложении операций с корпоративными облигациями состоит в расчетах налоговой базы, которая существенно зависит от условий выпуска и обращения облигаций. Налогообложение других долговых ценных бумаг (государственных и муниципальных облигаций, векселей) имеет специфические особенности и требует специального рассмотрения.</w:t>
      </w:r>
    </w:p>
    <w:p w:rsidR="00435888" w:rsidRPr="00657891" w:rsidRDefault="00435888" w:rsidP="00435888">
      <w:pPr>
        <w:pStyle w:val="ConsNormal"/>
        <w:widowControl/>
        <w:spacing w:line="360" w:lineRule="auto"/>
        <w:ind w:firstLine="540"/>
        <w:jc w:val="center"/>
        <w:rPr>
          <w:b/>
          <w:bCs/>
          <w:sz w:val="28"/>
          <w:szCs w:val="28"/>
        </w:rPr>
      </w:pPr>
      <w:r>
        <w:rPr>
          <w:sz w:val="28"/>
          <w:szCs w:val="28"/>
        </w:rPr>
        <w:br w:type="page"/>
      </w:r>
      <w:r w:rsidRPr="00657891">
        <w:rPr>
          <w:b/>
          <w:bCs/>
          <w:sz w:val="28"/>
          <w:szCs w:val="28"/>
        </w:rPr>
        <w:t>Литература</w:t>
      </w:r>
    </w:p>
    <w:p w:rsidR="00435888" w:rsidRPr="005D4EAB" w:rsidRDefault="00435888" w:rsidP="00435888">
      <w:pPr>
        <w:pStyle w:val="ConsNonformat"/>
        <w:widowControl/>
        <w:spacing w:line="360" w:lineRule="auto"/>
        <w:rPr>
          <w:sz w:val="28"/>
          <w:szCs w:val="28"/>
        </w:rPr>
      </w:pPr>
    </w:p>
    <w:p w:rsidR="00435888" w:rsidRDefault="00435888" w:rsidP="00435888">
      <w:pPr>
        <w:pStyle w:val="ConsNormal"/>
        <w:widowControl/>
        <w:numPr>
          <w:ilvl w:val="0"/>
          <w:numId w:val="1"/>
        </w:numPr>
        <w:spacing w:line="360" w:lineRule="auto"/>
        <w:jc w:val="both"/>
        <w:rPr>
          <w:sz w:val="28"/>
          <w:szCs w:val="28"/>
        </w:rPr>
      </w:pPr>
      <w:r w:rsidRPr="005D4EAB">
        <w:rPr>
          <w:sz w:val="28"/>
          <w:szCs w:val="28"/>
        </w:rPr>
        <w:t>Корепанова Н. Порядок налогообложения доходов и операций по ценным бумагам // Экономика и жизнь. Бухгалтерское приложение. 2003. N 3. С. 17 - 21.</w:t>
      </w:r>
      <w:r w:rsidRPr="00782B77">
        <w:rPr>
          <w:sz w:val="28"/>
          <w:szCs w:val="28"/>
        </w:rPr>
        <w:t xml:space="preserve"> </w:t>
      </w:r>
    </w:p>
    <w:p w:rsidR="00435888" w:rsidRDefault="00435888" w:rsidP="00435888">
      <w:pPr>
        <w:pStyle w:val="ConsNormal"/>
        <w:widowControl/>
        <w:numPr>
          <w:ilvl w:val="0"/>
          <w:numId w:val="1"/>
        </w:numPr>
        <w:spacing w:line="360" w:lineRule="auto"/>
        <w:jc w:val="both"/>
        <w:rPr>
          <w:sz w:val="28"/>
          <w:szCs w:val="28"/>
        </w:rPr>
      </w:pPr>
      <w:r w:rsidRPr="005D4EAB">
        <w:rPr>
          <w:sz w:val="28"/>
          <w:szCs w:val="28"/>
        </w:rPr>
        <w:t>Методические рекомендации по применению главы 25 "Налог на прибыль организаций" Налогового кодекса РФ, ч. II // Финансовый вестник. 2003. N 5.</w:t>
      </w:r>
      <w:r w:rsidRPr="00782B77">
        <w:rPr>
          <w:sz w:val="28"/>
          <w:szCs w:val="28"/>
        </w:rPr>
        <w:t xml:space="preserve"> </w:t>
      </w:r>
    </w:p>
    <w:p w:rsidR="00435888" w:rsidRPr="005D4EAB" w:rsidRDefault="00435888" w:rsidP="00435888">
      <w:pPr>
        <w:pStyle w:val="ConsNormal"/>
        <w:widowControl/>
        <w:numPr>
          <w:ilvl w:val="0"/>
          <w:numId w:val="1"/>
        </w:numPr>
        <w:spacing w:line="360" w:lineRule="auto"/>
        <w:jc w:val="both"/>
        <w:rPr>
          <w:sz w:val="28"/>
          <w:szCs w:val="28"/>
        </w:rPr>
      </w:pPr>
      <w:r w:rsidRPr="005D4EAB">
        <w:rPr>
          <w:sz w:val="28"/>
          <w:szCs w:val="28"/>
        </w:rPr>
        <w:t>О стандартах эмиссии ценных бумаг и регистрации проспектов ценных бумаг: Постановление ФКЦБ N 03-30/пс от 18.06.2003.</w:t>
      </w:r>
    </w:p>
    <w:p w:rsidR="00435888" w:rsidRPr="005D4EAB" w:rsidRDefault="00435888" w:rsidP="00435888">
      <w:pPr>
        <w:pStyle w:val="ConsNormal"/>
        <w:widowControl/>
        <w:numPr>
          <w:ilvl w:val="0"/>
          <w:numId w:val="1"/>
        </w:numPr>
        <w:spacing w:line="360" w:lineRule="auto"/>
        <w:jc w:val="both"/>
        <w:rPr>
          <w:sz w:val="28"/>
          <w:szCs w:val="28"/>
        </w:rPr>
      </w:pPr>
      <w:r w:rsidRPr="005D4EAB">
        <w:rPr>
          <w:sz w:val="28"/>
          <w:szCs w:val="28"/>
        </w:rPr>
        <w:t>Операции с корпоративными облигациями: особенности учета и налогообложения // Экономика и жизнь. Бухгалтерское приложение. 2001. N 10. С. 17.</w:t>
      </w:r>
    </w:p>
    <w:p w:rsidR="00435888" w:rsidRPr="005D4EAB" w:rsidRDefault="00435888" w:rsidP="00435888">
      <w:pPr>
        <w:pStyle w:val="ConsNormal"/>
        <w:widowControl/>
        <w:numPr>
          <w:ilvl w:val="0"/>
          <w:numId w:val="1"/>
        </w:numPr>
        <w:spacing w:line="360" w:lineRule="auto"/>
        <w:jc w:val="both"/>
        <w:rPr>
          <w:sz w:val="28"/>
          <w:szCs w:val="28"/>
        </w:rPr>
      </w:pPr>
      <w:r w:rsidRPr="005D4EAB">
        <w:rPr>
          <w:sz w:val="28"/>
          <w:szCs w:val="28"/>
        </w:rPr>
        <w:t>Операции с корпоративными облигациями: особенности учета и налогообложения // Экономика и жизнь. Бухгалтерское приложение. 2001. N 10. С. 17 - 21.</w:t>
      </w:r>
    </w:p>
    <w:p w:rsidR="00435888" w:rsidRPr="005D4EAB" w:rsidRDefault="00435888" w:rsidP="00435888">
      <w:pPr>
        <w:pStyle w:val="ConsNormal"/>
        <w:widowControl/>
        <w:numPr>
          <w:ilvl w:val="0"/>
          <w:numId w:val="1"/>
        </w:numPr>
        <w:spacing w:line="360" w:lineRule="auto"/>
        <w:jc w:val="both"/>
        <w:rPr>
          <w:sz w:val="28"/>
          <w:szCs w:val="28"/>
        </w:rPr>
      </w:pPr>
      <w:r w:rsidRPr="005D4EAB">
        <w:rPr>
          <w:sz w:val="28"/>
          <w:szCs w:val="28"/>
        </w:rPr>
        <w:t>Финансы. 2004. N 7.</w:t>
      </w:r>
    </w:p>
    <w:p w:rsidR="00FF5EEC" w:rsidRPr="005D4EAB" w:rsidRDefault="00FF5EEC" w:rsidP="005D4EAB">
      <w:pPr>
        <w:pStyle w:val="ConsNonformat"/>
        <w:widowControl/>
        <w:spacing w:line="360" w:lineRule="auto"/>
        <w:jc w:val="both"/>
        <w:rPr>
          <w:sz w:val="28"/>
          <w:szCs w:val="28"/>
        </w:rPr>
      </w:pPr>
      <w:bookmarkStart w:id="0" w:name="_GoBack"/>
      <w:bookmarkEnd w:id="0"/>
    </w:p>
    <w:sectPr w:rsidR="00FF5EEC" w:rsidRPr="005D4EAB" w:rsidSect="002B231B">
      <w:footerReference w:type="default" r:id="rId7"/>
      <w:pgSz w:w="11907" w:h="16840" w:code="9"/>
      <w:pgMar w:top="1417" w:right="1417" w:bottom="1417" w:left="1417"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08B" w:rsidRDefault="0012508B">
      <w:r>
        <w:separator/>
      </w:r>
    </w:p>
  </w:endnote>
  <w:endnote w:type="continuationSeparator" w:id="0">
    <w:p w:rsidR="0012508B" w:rsidRDefault="00125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1B" w:rsidRDefault="00C22450" w:rsidP="00C36355">
    <w:pPr>
      <w:pStyle w:val="a3"/>
      <w:framePr w:wrap="auto" w:vAnchor="text" w:hAnchor="margin" w:xAlign="right" w:y="1"/>
      <w:rPr>
        <w:rStyle w:val="a5"/>
      </w:rPr>
    </w:pPr>
    <w:r>
      <w:rPr>
        <w:rStyle w:val="a5"/>
        <w:noProof/>
      </w:rPr>
      <w:t>2</w:t>
    </w:r>
  </w:p>
  <w:p w:rsidR="002B231B" w:rsidRDefault="002B231B" w:rsidP="002B231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08B" w:rsidRDefault="0012508B">
      <w:r>
        <w:separator/>
      </w:r>
    </w:p>
  </w:footnote>
  <w:footnote w:type="continuationSeparator" w:id="0">
    <w:p w:rsidR="0012508B" w:rsidRDefault="001250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D1C65"/>
    <w:multiLevelType w:val="hybridMultilevel"/>
    <w:tmpl w:val="12D4AA6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EAB"/>
    <w:rsid w:val="00020A75"/>
    <w:rsid w:val="0012508B"/>
    <w:rsid w:val="00202203"/>
    <w:rsid w:val="002B231B"/>
    <w:rsid w:val="00435888"/>
    <w:rsid w:val="00552D1A"/>
    <w:rsid w:val="005D4EAB"/>
    <w:rsid w:val="00657891"/>
    <w:rsid w:val="006B7DA1"/>
    <w:rsid w:val="00782B77"/>
    <w:rsid w:val="007965F0"/>
    <w:rsid w:val="00AF4958"/>
    <w:rsid w:val="00C22450"/>
    <w:rsid w:val="00C36355"/>
    <w:rsid w:val="00CA7341"/>
    <w:rsid w:val="00FF5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258F27-4DD5-4BB2-BE80-D5950F76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E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customStyle="1" w:styleId="ConsTitle">
    <w:name w:val="ConsTitle"/>
    <w:uiPriority w:val="99"/>
    <w:pPr>
      <w:widowControl w:val="0"/>
      <w:autoSpaceDE w:val="0"/>
      <w:autoSpaceDN w:val="0"/>
      <w:adjustRightInd w:val="0"/>
    </w:pPr>
    <w:rPr>
      <w:rFonts w:ascii="Arial" w:hAnsi="Arial" w:cs="Arial"/>
      <w:b/>
      <w:bCs/>
    </w:rPr>
  </w:style>
  <w:style w:type="paragraph" w:customStyle="1" w:styleId="ConsCell">
    <w:name w:val="ConsCell"/>
    <w:uiPriority w:val="99"/>
    <w:pPr>
      <w:widowControl w:val="0"/>
      <w:autoSpaceDE w:val="0"/>
      <w:autoSpaceDN w:val="0"/>
      <w:adjustRightInd w:val="0"/>
    </w:pPr>
    <w:rPr>
      <w:rFonts w:ascii="Arial" w:hAnsi="Arial" w:cs="Arial"/>
    </w:rPr>
  </w:style>
  <w:style w:type="paragraph" w:customStyle="1" w:styleId="ConsDocList">
    <w:name w:val="ConsDocList"/>
    <w:uiPriority w:val="99"/>
    <w:pPr>
      <w:widowControl w:val="0"/>
      <w:autoSpaceDE w:val="0"/>
      <w:autoSpaceDN w:val="0"/>
      <w:adjustRightInd w:val="0"/>
    </w:pPr>
    <w:rPr>
      <w:rFonts w:ascii="Courier New" w:hAnsi="Courier New" w:cs="Courier New"/>
    </w:rPr>
  </w:style>
  <w:style w:type="paragraph" w:styleId="a3">
    <w:name w:val="footer"/>
    <w:basedOn w:val="a"/>
    <w:link w:val="a4"/>
    <w:uiPriority w:val="99"/>
    <w:rsid w:val="002B231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2B231B"/>
  </w:style>
  <w:style w:type="paragraph" w:styleId="a6">
    <w:name w:val="header"/>
    <w:basedOn w:val="a"/>
    <w:link w:val="a7"/>
    <w:uiPriority w:val="99"/>
    <w:rsid w:val="002B231B"/>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4534</Words>
  <Characters>25844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НАЛОГООБЛОЖЕНИЕ ДОХОДОВ И ОПЕРАЦИЙ</vt:lpstr>
    </vt:vector>
  </TitlesOfParts>
  <Company>ОАО "НЭК"</Company>
  <LinksUpToDate>false</LinksUpToDate>
  <CharactersWithSpaces>30318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НАЛОГООБЛОЖЕНИЕ ДОХОДОВ И ОПЕРАЦИЙ</dc:title>
  <dc:subject/>
  <dc:creator>ConsultantPlus</dc:creator>
  <cp:keywords/>
  <dc:description/>
  <cp:lastModifiedBy>admin</cp:lastModifiedBy>
  <cp:revision>2</cp:revision>
  <dcterms:created xsi:type="dcterms:W3CDTF">2014-03-12T17:15:00Z</dcterms:created>
  <dcterms:modified xsi:type="dcterms:W3CDTF">2014-03-12T17:15:00Z</dcterms:modified>
</cp:coreProperties>
</file>