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5DE" w:rsidRPr="00005F31" w:rsidRDefault="00C72347" w:rsidP="00005F31">
      <w:pPr>
        <w:pStyle w:val="2"/>
        <w:spacing w:before="0" w:after="0" w:line="360" w:lineRule="auto"/>
        <w:ind w:firstLine="709"/>
        <w:jc w:val="both"/>
        <w:rPr>
          <w:i w:val="0"/>
          <w:iCs w:val="0"/>
          <w:color w:val="000000"/>
          <w:sz w:val="28"/>
          <w:szCs w:val="28"/>
          <w:lang w:val="en-US"/>
        </w:rPr>
      </w:pPr>
      <w:bookmarkStart w:id="0" w:name="_Toc385594349"/>
      <w:bookmarkStart w:id="1" w:name="_Toc416521616"/>
      <w:bookmarkStart w:id="2" w:name="_Toc385594353"/>
      <w:r w:rsidRPr="00005F31">
        <w:rPr>
          <w:i w:val="0"/>
          <w:iCs w:val="0"/>
          <w:color w:val="000000"/>
          <w:sz w:val="28"/>
          <w:szCs w:val="28"/>
        </w:rPr>
        <w:t>Имущественный налог</w:t>
      </w:r>
      <w:r w:rsidR="000205DE" w:rsidRPr="00005F31">
        <w:rPr>
          <w:i w:val="0"/>
          <w:iCs w:val="0"/>
          <w:color w:val="000000"/>
          <w:sz w:val="28"/>
          <w:szCs w:val="28"/>
        </w:rPr>
        <w:t xml:space="preserve"> </w:t>
      </w:r>
      <w:bookmarkEnd w:id="0"/>
      <w:r w:rsidRPr="00005F31">
        <w:rPr>
          <w:i w:val="0"/>
          <w:iCs w:val="0"/>
          <w:color w:val="000000"/>
          <w:sz w:val="28"/>
          <w:szCs w:val="28"/>
        </w:rPr>
        <w:t>с физических лиц</w:t>
      </w:r>
    </w:p>
    <w:p w:rsidR="00005F31" w:rsidRPr="00005F31" w:rsidRDefault="00005F31" w:rsidP="00005F31">
      <w:pPr>
        <w:pStyle w:val="23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05F31" w:rsidRDefault="000205DE" w:rsidP="00005F31">
      <w:pPr>
        <w:pStyle w:val="23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05F31">
        <w:rPr>
          <w:rFonts w:ascii="Times New Roman" w:hAnsi="Times New Roman" w:cs="Times New Roman"/>
          <w:color w:val="000000"/>
          <w:sz w:val="28"/>
          <w:szCs w:val="28"/>
        </w:rPr>
        <w:t>Плательщиками налогов на имущество физических лиц (далее - налоги) признаются физические лица - собственники имущества, признаваемого объектом налогообложения.</w:t>
      </w:r>
    </w:p>
    <w:p w:rsid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5F31">
        <w:rPr>
          <w:color w:val="000000"/>
          <w:sz w:val="28"/>
          <w:szCs w:val="28"/>
        </w:rPr>
        <w:t>Если имущество, признаваемое объектом налогообложения, находится в общей долевой собственности нескольких физических лиц, налогоплательщиком в отношении этого имущества признается каждое из этих физических лиц соразмерно его доле в этом имуществе. В аналогичном порядке определяются налогоплательщики, если такое имущество находится в общей долевой собственности физических лиц и предприятий (организаций).</w:t>
      </w:r>
    </w:p>
    <w:p w:rsid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5F31">
        <w:rPr>
          <w:color w:val="000000"/>
          <w:sz w:val="28"/>
          <w:szCs w:val="28"/>
        </w:rPr>
        <w:t>Если имущество, признаваемое объектом налогообложения, находится в общей совместной собственности нескольких физических лиц, они несут равную ответственность по исполнению налогового обязательства. При этом плательщиком налога может быть одно из этих лиц, определяемое по соглашению между ними.</w:t>
      </w:r>
    </w:p>
    <w:p w:rsid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5F31">
        <w:rPr>
          <w:color w:val="000000"/>
          <w:sz w:val="28"/>
          <w:szCs w:val="28"/>
        </w:rPr>
        <w:t>Объектами налогообложения признаются следующие виды имущества:</w:t>
      </w:r>
    </w:p>
    <w:p w:rsid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5F31">
        <w:rPr>
          <w:color w:val="000000"/>
          <w:sz w:val="28"/>
          <w:szCs w:val="28"/>
        </w:rPr>
        <w:t>1) жилые дома, квартиры, дачи, гаражи и иные строения, помещения и сооружения;</w:t>
      </w:r>
    </w:p>
    <w:p w:rsid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5F31">
        <w:rPr>
          <w:color w:val="000000"/>
          <w:sz w:val="28"/>
          <w:szCs w:val="28"/>
        </w:rPr>
        <w:t>2) самолеты, вертолеты, теплоходы, яхты, катера, мотосани, моторные лодки и другие водно-воздушные транспортные средства (за исключением весельных лодок).</w:t>
      </w:r>
    </w:p>
    <w:p w:rsidR="00005F31" w:rsidRDefault="000205DE" w:rsidP="00005F31">
      <w:pPr>
        <w:pStyle w:val="23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Toc385594350"/>
      <w:r w:rsidRPr="00005F31">
        <w:rPr>
          <w:rFonts w:ascii="Times New Roman" w:hAnsi="Times New Roman" w:cs="Times New Roman"/>
          <w:color w:val="000000"/>
          <w:sz w:val="28"/>
          <w:szCs w:val="28"/>
        </w:rPr>
        <w:t>Ставки налога на строения, помещения и сооружения устанавливаются нормативными правовыми актами представительных органов местного самоуправления в зависимости от суммарной инвентаризационной стоимости. Представительные органы местного самоуправления могут определять дифференциацию ставок в установленных пределах в зависимости от суммарной инвентаризационной стоимости, типа использования и по иным критериям. Ставки налога устанавливаются в следующих пределах:</w:t>
      </w:r>
    </w:p>
    <w:p w:rsidR="000205DE" w:rsidRP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8"/>
        <w:gridCol w:w="2800"/>
      </w:tblGrid>
      <w:tr w:rsidR="000205DE" w:rsidRPr="00005F31" w:rsidTr="00005F31">
        <w:tc>
          <w:tcPr>
            <w:tcW w:w="39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</w:rPr>
              <w:t>Стоимость имущества</w:t>
            </w:r>
          </w:p>
        </w:tc>
        <w:tc>
          <w:tcPr>
            <w:tcW w:w="28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</w:rPr>
              <w:t>Ставка налога</w:t>
            </w:r>
          </w:p>
        </w:tc>
      </w:tr>
      <w:tr w:rsidR="000205DE" w:rsidRPr="00005F31" w:rsidTr="00005F31">
        <w:tc>
          <w:tcPr>
            <w:tcW w:w="39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</w:rPr>
              <w:t>До 300 тыс. рублей</w:t>
            </w:r>
          </w:p>
        </w:tc>
        <w:tc>
          <w:tcPr>
            <w:tcW w:w="2800" w:type="dxa"/>
          </w:tcPr>
          <w:p w:rsidR="000205DE" w:rsidRPr="00005F31" w:rsidRDefault="00FF478A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</w:rPr>
              <w:t xml:space="preserve"> Д</w:t>
            </w:r>
            <w:r w:rsidR="005F2AD2" w:rsidRPr="00005F31">
              <w:rPr>
                <w:color w:val="000000"/>
              </w:rPr>
              <w:t>о</w:t>
            </w:r>
            <w:r w:rsidR="000205DE" w:rsidRPr="00005F31">
              <w:rPr>
                <w:color w:val="000000"/>
              </w:rPr>
              <w:t xml:space="preserve"> 0,1 процент</w:t>
            </w:r>
            <w:r w:rsidR="005F2AD2" w:rsidRPr="00005F31">
              <w:rPr>
                <w:color w:val="000000"/>
              </w:rPr>
              <w:t>а</w:t>
            </w:r>
          </w:p>
        </w:tc>
      </w:tr>
      <w:tr w:rsidR="000205DE" w:rsidRPr="00005F31" w:rsidTr="00005F31">
        <w:tc>
          <w:tcPr>
            <w:tcW w:w="39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От 300 тыс. рублей до 500 тыс. рублей</w:t>
            </w:r>
          </w:p>
        </w:tc>
        <w:tc>
          <w:tcPr>
            <w:tcW w:w="28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</w:rPr>
              <w:t xml:space="preserve"> </w:t>
            </w:r>
            <w:r w:rsidR="005F2AD2" w:rsidRPr="00005F31">
              <w:rPr>
                <w:color w:val="000000"/>
              </w:rPr>
              <w:t xml:space="preserve">От </w:t>
            </w:r>
            <w:r w:rsidR="00FF478A" w:rsidRPr="00005F31">
              <w:rPr>
                <w:color w:val="000000"/>
              </w:rPr>
              <w:t xml:space="preserve">0,1 до </w:t>
            </w:r>
            <w:r w:rsidRPr="00005F31">
              <w:rPr>
                <w:color w:val="000000"/>
              </w:rPr>
              <w:t>0,3 процент</w:t>
            </w:r>
            <w:r w:rsidR="005F2AD2" w:rsidRPr="00005F31">
              <w:rPr>
                <w:color w:val="000000"/>
              </w:rPr>
              <w:t>а</w:t>
            </w:r>
          </w:p>
        </w:tc>
      </w:tr>
      <w:tr w:rsidR="000205DE" w:rsidRPr="00005F31" w:rsidTr="00005F31">
        <w:tc>
          <w:tcPr>
            <w:tcW w:w="39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</w:rPr>
              <w:t>Свыше 500 тыс. рублей</w:t>
            </w:r>
          </w:p>
        </w:tc>
        <w:tc>
          <w:tcPr>
            <w:tcW w:w="2800" w:type="dxa"/>
          </w:tcPr>
          <w:p w:rsidR="000205DE" w:rsidRPr="00005F31" w:rsidRDefault="005F2AD2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 xml:space="preserve"> От 0,3 до 0,2 процента</w:t>
            </w:r>
          </w:p>
        </w:tc>
      </w:tr>
    </w:tbl>
    <w:p w:rsidR="000205DE" w:rsidRP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205DE" w:rsidRP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5F31">
        <w:rPr>
          <w:color w:val="000000"/>
          <w:sz w:val="28"/>
          <w:szCs w:val="28"/>
        </w:rPr>
        <w:t xml:space="preserve">Налог на транспортные средства уплачивается ежегодно по ставкам, устанавливаемым представительными органами местного самоуправления и не </w:t>
      </w:r>
      <w:r w:rsidR="00005F31">
        <w:rPr>
          <w:color w:val="000000"/>
          <w:sz w:val="28"/>
          <w:szCs w:val="28"/>
        </w:rPr>
        <w:t>превышающим следующих размеров:</w:t>
      </w:r>
    </w:p>
    <w:p w:rsidR="00005F31" w:rsidRPr="00005F31" w:rsidRDefault="00005F31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8"/>
        <w:gridCol w:w="2300"/>
      </w:tblGrid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Объекты налогообложения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Размеры налога (в процентах от МРОТ)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</w:rPr>
              <w:t>Вертолеты, самолеты, теплоходы: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1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>с каждой лошадиной силы</w:t>
            </w:r>
          </w:p>
        </w:tc>
        <w:tc>
          <w:tcPr>
            <w:tcW w:w="2300" w:type="dxa"/>
          </w:tcPr>
          <w:p w:rsidR="00C72347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  <w:lang w:val="en-US"/>
              </w:rPr>
              <w:t>10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0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>с каждого киловатта мощности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13,6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Яхты, катера и другие транспортные средства</w:t>
            </w:r>
            <w:r w:rsidR="00747C93" w:rsidRPr="00747C93">
              <w:rPr>
                <w:color w:val="000000"/>
              </w:rPr>
              <w:t xml:space="preserve"> </w:t>
            </w:r>
            <w:r w:rsidRPr="00005F31">
              <w:rPr>
                <w:color w:val="000000"/>
              </w:rPr>
              <w:t xml:space="preserve">(с мощностью двигателя свыше 100 лошадиных сил):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2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 xml:space="preserve">с каждой лошадиной силы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  <w:lang w:val="en-US"/>
              </w:rPr>
              <w:t>5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2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>с каждого киловатта мощности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  <w:lang w:val="en-US"/>
              </w:rPr>
              <w:t>6,8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Парусные суда</w:t>
            </w:r>
            <w:r w:rsidRPr="00005F31">
              <w:rPr>
                <w:color w:val="000000"/>
                <w:lang w:val="en-US"/>
              </w:rPr>
              <w:t>:</w:t>
            </w:r>
            <w:r w:rsidRPr="00005F31">
              <w:rPr>
                <w:color w:val="000000"/>
              </w:rPr>
              <w:t xml:space="preserve">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3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 xml:space="preserve">с каждого пассажиро-места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  <w:lang w:val="en-US"/>
              </w:rPr>
              <w:t>30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Мотосани, катера, моторные лодки и другие транспортные средства (с мощностью двигателя до 100 лошадиных сил):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4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 xml:space="preserve">с каждой лошадиной силы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  <w:lang w:val="en-US"/>
              </w:rPr>
              <w:t>3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4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>с каждого киловатта мощности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  <w:lang w:val="en-US"/>
              </w:rPr>
              <w:t>4,1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>Несамоходные (буксирные) суда</w:t>
            </w:r>
            <w:r w:rsidRPr="00005F31">
              <w:rPr>
                <w:color w:val="000000"/>
                <w:lang w:val="en-US"/>
              </w:rPr>
              <w:t>:</w:t>
            </w:r>
            <w:r w:rsidRPr="00005F31">
              <w:rPr>
                <w:color w:val="000000"/>
              </w:rPr>
              <w:t xml:space="preserve">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numPr>
                <w:ilvl w:val="0"/>
                <w:numId w:val="35"/>
              </w:numPr>
              <w:spacing w:line="360" w:lineRule="auto"/>
              <w:ind w:left="0" w:firstLine="0"/>
              <w:rPr>
                <w:color w:val="000000"/>
              </w:rPr>
            </w:pPr>
            <w:r w:rsidRPr="00005F31">
              <w:rPr>
                <w:color w:val="000000"/>
              </w:rPr>
              <w:t xml:space="preserve">с каждой регистровой тонны валовой вместимости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  <w:lang w:val="en-US"/>
              </w:rPr>
              <w:t>10</w:t>
            </w:r>
          </w:p>
        </w:tc>
      </w:tr>
      <w:tr w:rsidR="000205DE" w:rsidRPr="00005F31" w:rsidTr="00747C93">
        <w:tc>
          <w:tcPr>
            <w:tcW w:w="7008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</w:rPr>
            </w:pPr>
            <w:r w:rsidRPr="00005F31">
              <w:rPr>
                <w:color w:val="000000"/>
              </w:rPr>
              <w:t xml:space="preserve">Водно-воздушные транспортные средства, не имеющие двигателей (за исключением весельных лодок) </w:t>
            </w:r>
          </w:p>
        </w:tc>
        <w:tc>
          <w:tcPr>
            <w:tcW w:w="2300" w:type="dxa"/>
          </w:tcPr>
          <w:p w:rsidR="000205DE" w:rsidRPr="00005F31" w:rsidRDefault="000205DE" w:rsidP="00005F31">
            <w:pPr>
              <w:spacing w:line="360" w:lineRule="auto"/>
              <w:rPr>
                <w:color w:val="000000"/>
                <w:lang w:val="en-US"/>
              </w:rPr>
            </w:pPr>
            <w:r w:rsidRPr="00005F31">
              <w:rPr>
                <w:color w:val="000000"/>
                <w:lang w:val="en-US"/>
              </w:rPr>
              <w:t>5</w:t>
            </w:r>
          </w:p>
        </w:tc>
      </w:tr>
    </w:tbl>
    <w:p w:rsidR="000205DE" w:rsidRP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5F31" w:rsidRDefault="000205DE" w:rsidP="00005F31">
      <w:pPr>
        <w:pStyle w:val="23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05F31">
        <w:rPr>
          <w:rFonts w:ascii="Times New Roman" w:hAnsi="Times New Roman" w:cs="Times New Roman"/>
          <w:color w:val="000000"/>
          <w:sz w:val="28"/>
          <w:szCs w:val="28"/>
        </w:rPr>
        <w:t>Налоги зачисляются в местный бюджет по месту нахождения (регистрации) объекта налогообложения.</w:t>
      </w:r>
    </w:p>
    <w:p w:rsidR="000205DE" w:rsidRPr="00005F31" w:rsidRDefault="00747C93" w:rsidP="00005F31">
      <w:pPr>
        <w:tabs>
          <w:tab w:val="left" w:pos="4253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0205DE" w:rsidRPr="00005F31">
        <w:rPr>
          <w:b/>
          <w:bCs/>
          <w:color w:val="000000"/>
          <w:sz w:val="28"/>
          <w:szCs w:val="28"/>
        </w:rPr>
        <w:t>Льготы по налогам на имущество:</w:t>
      </w:r>
    </w:p>
    <w:p w:rsidR="00747C93" w:rsidRDefault="00747C93" w:rsidP="00005F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5F31" w:rsidRDefault="000205DE" w:rsidP="00005F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5F31">
        <w:rPr>
          <w:color w:val="000000"/>
          <w:sz w:val="28"/>
          <w:szCs w:val="28"/>
        </w:rPr>
        <w:t>1. От уплаты налогов на имущество физических лиц освобождаются следующие категории граждан: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Герои Советского Союза и Герои Российской Федерации, а также лица, награжденные орденом Славы трех степеней;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инвалиды I и II групп, инвалиды с детства;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участники гражданской и Великой Отечественной войн,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лица, получающие льготы в соответствии с Законом РСФСР "О социальной защите граждан, подвергшихся воздействию радиации вследствие катастрофы на Чернобыльской АЭС", а также лица, указанные в статьях 2, 3, 5, 6 Закона Российской Федерации "О социальной защите граждан, подвергшихся воздействию радиации вследствие аварии в 1957 году на производственном объединении "Маяк" и сбросов радиоактивных отходов в реку Теча;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члены семей военнослужащих, потерявших кормильца. Льгота членам семей военнослужащих, потерявших кормильца, предоставляется на основании пенсионного удостоверения, в котором проставлен штамп "вдова (вдовец, мать, отец) погибшего воина" или имеется соответствующая запись, заверенная подписью руководителя учреждения, выдавшего пенсионное удостоверение, и печатью этого учреждения. В случае если указанные члены семей не являются пенсионерами, льгота предоставляется им на основании справки о гибели военнослужащего.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b/>
          <w:bCs/>
          <w:color w:val="000000"/>
          <w:sz w:val="28"/>
          <w:szCs w:val="28"/>
        </w:rPr>
        <w:t>Налог на имущество физических лиц не уплачивается</w:t>
      </w:r>
      <w:r w:rsidRPr="00005F31">
        <w:rPr>
          <w:rFonts w:eastAsia="Times-Roman"/>
          <w:color w:val="000000"/>
          <w:sz w:val="28"/>
          <w:szCs w:val="28"/>
        </w:rPr>
        <w:t>: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пенсионерами, получающими пенсии, назначаемые в порядке, установленном пенсионным законодательством Российской Федерации;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гражданами, уволенными с военной службы или призывавшимися на военные сборы, выполнявшими интернациональный долг в Афганистане и других странах, в которых велись боевые действия. Льгота предоставляется на основании свидетельства о праве на льготы и справки, выданной районным военным комиссариатом, воинской частью, военным учебным заведением, предприятием, учреждением или организацией Министерства внутренних дел СССР или соответствующими органами Российской Федерации;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родителями и супругами военнослужащих и государственных служащих, погибших при исполнении служебных обязанностей. Льгота предоставляется им на основании справки о гибели военнослужащего либо государственного служащего, выданной соответствующими государственными органами. Супругам государственных служащих, погибших при исполнении служебных обязанностей, льгота предоставляется только в том случае, если они не вступили в повторный брак;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со специально оборудованных сооружений, строений, помещений (включая жилье), принадлежащих деятелям культуры, искусства и народным мастерам на праве собственности и используемых исключительно в качестве творческих мастерских, ателье, студий, а также с жилой площади, используемой для организации открытых для посещения негосударственных музеев, галерей, библиотек и других организаций культуры, - на период такого их использования;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- с расположенных на участках в садоводческих и дачных некоммерческих объединениях граждан жилого строения жилой площадью до 50 квадратных метров и хозяйственных строений и сооружений общей площадью до 50 квадратных метров.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Лица, имеющие право на льготы, самостоятельно представляют подтверждающие документы на льготу в налоговый орган.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При возникновении права на льготу в течение календарного года перерасчет налога производится с месяца, в котором возникло это право.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В случае несвоевременного обращения за предоставлением льготы по уплате налога перерасчет суммы налога производится не более чем за три года по письменному заявлению плательщика.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b/>
          <w:bCs/>
          <w:color w:val="000000"/>
          <w:sz w:val="28"/>
          <w:szCs w:val="28"/>
          <w:lang w:val="en-US"/>
        </w:rPr>
      </w:pPr>
      <w:r w:rsidRPr="00005F31">
        <w:rPr>
          <w:rFonts w:eastAsia="Times-Roman"/>
          <w:b/>
          <w:bCs/>
          <w:color w:val="000000"/>
          <w:sz w:val="28"/>
          <w:szCs w:val="28"/>
        </w:rPr>
        <w:t>Пор</w:t>
      </w:r>
      <w:r w:rsidR="00005F31">
        <w:rPr>
          <w:rFonts w:eastAsia="Times-Roman"/>
          <w:b/>
          <w:bCs/>
          <w:color w:val="000000"/>
          <w:sz w:val="28"/>
          <w:szCs w:val="28"/>
        </w:rPr>
        <w:t>ядок исчисления и уплаты налога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В соответствии с Законом налог на имущество физических лиц исчисляется налоговым органом по месту нахождения объектов налогообложения (жилого дома, квартиры, дачи, гаража и иного строения, помещения и сооружения) на основании данных об инвентаризационной стоимости</w:t>
      </w:r>
      <w:r w:rsidR="00005F31">
        <w:rPr>
          <w:rFonts w:eastAsia="Times-Roman"/>
          <w:color w:val="000000"/>
          <w:sz w:val="28"/>
          <w:szCs w:val="28"/>
        </w:rPr>
        <w:t xml:space="preserve"> </w:t>
      </w:r>
      <w:r w:rsidRPr="00005F31">
        <w:rPr>
          <w:rFonts w:eastAsia="Times-Roman"/>
          <w:color w:val="000000"/>
          <w:sz w:val="28"/>
          <w:szCs w:val="28"/>
        </w:rPr>
        <w:t>имущества по состоянию на 1 января каждого года. Сведения об инвентаризационной стоимости</w:t>
      </w:r>
      <w:r w:rsidR="00005F31">
        <w:rPr>
          <w:rFonts w:eastAsia="Times-Roman"/>
          <w:color w:val="000000"/>
          <w:sz w:val="28"/>
          <w:szCs w:val="28"/>
        </w:rPr>
        <w:t xml:space="preserve"> </w:t>
      </w:r>
      <w:r w:rsidRPr="00005F31">
        <w:rPr>
          <w:rFonts w:eastAsia="Times-Roman"/>
          <w:color w:val="000000"/>
          <w:sz w:val="28"/>
          <w:szCs w:val="28"/>
        </w:rPr>
        <w:t>имущества в налоговый орган предоставляются органами технической инвентаризации.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Налог исчисляется с суммарной инвентаризационной стоимости объектов недвижимости, расположенных в одном муниципальном образовании.</w:t>
      </w:r>
    </w:p>
    <w:p w:rsidR="00C72347" w:rsidRPr="00005F31" w:rsidRDefault="00C72347" w:rsidP="00005F31">
      <w:pPr>
        <w:spacing w:line="360" w:lineRule="auto"/>
        <w:ind w:firstLine="709"/>
        <w:jc w:val="both"/>
        <w:rPr>
          <w:rFonts w:eastAsia="Times-Roman"/>
          <w:color w:val="000000"/>
          <w:sz w:val="28"/>
          <w:szCs w:val="28"/>
        </w:rPr>
      </w:pPr>
      <w:r w:rsidRPr="00005F31">
        <w:rPr>
          <w:rFonts w:eastAsia="Times-Roman"/>
          <w:color w:val="000000"/>
          <w:sz w:val="28"/>
          <w:szCs w:val="28"/>
        </w:rPr>
        <w:t>На основании полученной информации об инвентаризационной стоимости имущества и установленной ставки налоговый орган ежегодно исчисляет налог на имущество и не позднее 1 августа направляет налогоплательщикам налоговые уведомления и платежные извещения. Уплата налога производится равными долями в два срока – не позднее 15 сентября и 15 ноября.</w:t>
      </w:r>
      <w:bookmarkStart w:id="4" w:name="_GoBack"/>
      <w:bookmarkEnd w:id="1"/>
      <w:bookmarkEnd w:id="2"/>
      <w:bookmarkEnd w:id="3"/>
      <w:bookmarkEnd w:id="4"/>
    </w:p>
    <w:sectPr w:rsidR="00C72347" w:rsidRPr="00005F31" w:rsidSect="00005F31">
      <w:headerReference w:type="default" r:id="rId7"/>
      <w:footerReference w:type="default" r:id="rId8"/>
      <w:pgSz w:w="11907" w:h="16840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494" w:rsidRDefault="00522494">
      <w:r>
        <w:separator/>
      </w:r>
    </w:p>
  </w:endnote>
  <w:endnote w:type="continuationSeparator" w:id="0">
    <w:p w:rsidR="00522494" w:rsidRDefault="0052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5DE" w:rsidRDefault="004D5D90">
    <w:pPr>
      <w:pStyle w:val="ab"/>
      <w:framePr w:wrap="auto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0205DE" w:rsidRDefault="000205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494" w:rsidRDefault="00522494">
      <w:r>
        <w:separator/>
      </w:r>
    </w:p>
  </w:footnote>
  <w:footnote w:type="continuationSeparator" w:id="0">
    <w:p w:rsidR="00522494" w:rsidRDefault="00522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5DE" w:rsidRDefault="000205DE">
    <w:pPr>
      <w:pStyle w:val="a6"/>
      <w:framePr w:wrap="auto" w:vAnchor="text" w:hAnchor="margin" w:xAlign="center" w:y="1"/>
      <w:rPr>
        <w:rStyle w:val="a8"/>
      </w:rPr>
    </w:pPr>
  </w:p>
  <w:p w:rsidR="000205DE" w:rsidRDefault="000205DE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10EA6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8C87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D6D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B6C0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F60A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718C7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C26AA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4DA8D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33A5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3649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05E48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00A1558B"/>
    <w:multiLevelType w:val="singleLevel"/>
    <w:tmpl w:val="094CE3EA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</w:rPr>
    </w:lvl>
  </w:abstractNum>
  <w:abstractNum w:abstractNumId="13">
    <w:nsid w:val="01CB78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066155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0EEE65E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1B972315"/>
    <w:multiLevelType w:val="multilevel"/>
    <w:tmpl w:val="37E4A2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212291"/>
    <w:multiLevelType w:val="singleLevel"/>
    <w:tmpl w:val="A8403B0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8">
    <w:nsid w:val="2C7C53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4735D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39721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3B8D55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3D052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>
    <w:nsid w:val="498E0B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4FD01C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0F21920"/>
    <w:multiLevelType w:val="singleLevel"/>
    <w:tmpl w:val="3D7633CE"/>
    <w:lvl w:ilvl="0">
      <w:start w:val="1"/>
      <w:numFmt w:val="decimal"/>
      <w:lvlText w:val="%1."/>
      <w:legacy w:legacy="1" w:legacySpace="0" w:legacyIndent="397"/>
      <w:lvlJc w:val="left"/>
      <w:pPr>
        <w:ind w:left="681" w:hanging="397"/>
      </w:pPr>
    </w:lvl>
  </w:abstractNum>
  <w:abstractNum w:abstractNumId="26">
    <w:nsid w:val="5ECD3A6D"/>
    <w:multiLevelType w:val="singleLevel"/>
    <w:tmpl w:val="468CEA5A"/>
    <w:lvl w:ilvl="0">
      <w:start w:val="1"/>
      <w:numFmt w:val="decimal"/>
      <w:lvlText w:val="%1)"/>
      <w:lvlJc w:val="left"/>
      <w:pPr>
        <w:tabs>
          <w:tab w:val="num" w:pos="740"/>
        </w:tabs>
        <w:ind w:left="740" w:hanging="456"/>
      </w:pPr>
      <w:rPr>
        <w:rFonts w:hint="default"/>
      </w:rPr>
    </w:lvl>
  </w:abstractNum>
  <w:abstractNum w:abstractNumId="27">
    <w:nsid w:val="64573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9400252"/>
    <w:multiLevelType w:val="singleLevel"/>
    <w:tmpl w:val="54FCBD1A"/>
    <w:lvl w:ilvl="0">
      <w:start w:val="1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9">
    <w:nsid w:val="695540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6A9073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>
    <w:nsid w:val="6EA74B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2">
    <w:nsid w:val="71A16A9A"/>
    <w:multiLevelType w:val="singleLevel"/>
    <w:tmpl w:val="D2B02E9A"/>
    <w:lvl w:ilvl="0">
      <w:start w:val="1"/>
      <w:numFmt w:val="lowerLetter"/>
      <w:lvlText w:val="%1)"/>
      <w:legacy w:legacy="1" w:legacySpace="0" w:legacyIndent="397"/>
      <w:lvlJc w:val="left"/>
      <w:pPr>
        <w:ind w:left="681" w:hanging="397"/>
      </w:pPr>
    </w:lvl>
  </w:abstractNum>
  <w:abstractNum w:abstractNumId="33">
    <w:nsid w:val="76E90C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681" w:hanging="397"/>
        </w:pPr>
        <w:rPr>
          <w:rFonts w:ascii="Symbol" w:hAnsi="Symbol" w:cs="Symbol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"/>
        <w:legacy w:legacy="1" w:legacySpace="0" w:legacyIndent="397"/>
        <w:lvlJc w:val="left"/>
        <w:pPr>
          <w:ind w:left="681" w:hanging="397"/>
        </w:pPr>
        <w:rPr>
          <w:rFonts w:ascii="Symbol" w:hAnsi="Symbol" w:cs="Symbol" w:hint="default"/>
        </w:rPr>
      </w:lvl>
    </w:lvlOverride>
  </w:num>
  <w:num w:numId="3">
    <w:abstractNumId w:val="25"/>
  </w:num>
  <w:num w:numId="4">
    <w:abstractNumId w:val="32"/>
  </w:num>
  <w:num w:numId="5">
    <w:abstractNumId w:val="1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6">
    <w:abstractNumId w:val="17"/>
  </w:num>
  <w:num w:numId="7">
    <w:abstractNumId w:val="16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12"/>
  </w:num>
  <w:num w:numId="21">
    <w:abstractNumId w:val="26"/>
  </w:num>
  <w:num w:numId="22">
    <w:abstractNumId w:val="24"/>
  </w:num>
  <w:num w:numId="23">
    <w:abstractNumId w:val="27"/>
  </w:num>
  <w:num w:numId="24">
    <w:abstractNumId w:val="11"/>
  </w:num>
  <w:num w:numId="25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26">
    <w:abstractNumId w:val="22"/>
  </w:num>
  <w:num w:numId="27">
    <w:abstractNumId w:val="15"/>
  </w:num>
  <w:num w:numId="28">
    <w:abstractNumId w:val="31"/>
  </w:num>
  <w:num w:numId="29">
    <w:abstractNumId w:val="18"/>
  </w:num>
  <w:num w:numId="30">
    <w:abstractNumId w:val="33"/>
  </w:num>
  <w:num w:numId="31">
    <w:abstractNumId w:val="14"/>
  </w:num>
  <w:num w:numId="32">
    <w:abstractNumId w:val="23"/>
  </w:num>
  <w:num w:numId="33">
    <w:abstractNumId w:val="21"/>
  </w:num>
  <w:num w:numId="34">
    <w:abstractNumId w:val="30"/>
  </w:num>
  <w:num w:numId="35">
    <w:abstractNumId w:val="29"/>
  </w:num>
  <w:num w:numId="36">
    <w:abstractNumId w:val="20"/>
  </w:num>
  <w:num w:numId="37">
    <w:abstractNumId w:val="13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AD2"/>
    <w:rsid w:val="00005F31"/>
    <w:rsid w:val="000205DE"/>
    <w:rsid w:val="004D5D90"/>
    <w:rsid w:val="00522494"/>
    <w:rsid w:val="005F2AD2"/>
    <w:rsid w:val="00747C93"/>
    <w:rsid w:val="009532B0"/>
    <w:rsid w:val="009D3009"/>
    <w:rsid w:val="00B479E9"/>
    <w:rsid w:val="00C72347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859004-3224-42C8-929C-C8ECFEEA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jc w:val="center"/>
      <w:outlineLvl w:val="0"/>
    </w:pPr>
    <w:rPr>
      <w:b/>
      <w:bCs/>
      <w:i/>
      <w:iCs/>
      <w:kern w:val="28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jc w:val="center"/>
      <w:outlineLvl w:val="1"/>
    </w:pPr>
    <w:rPr>
      <w:b/>
      <w:bCs/>
      <w:i/>
      <w:i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rFonts w:ascii="Arial" w:hAnsi="Arial" w:cs="Arial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284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284"/>
      <w:jc w:val="center"/>
      <w:outlineLvl w:val="5"/>
    </w:pPr>
    <w:rPr>
      <w:rFonts w:ascii="Arial" w:hAnsi="Arial" w:cs="Arial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ind w:firstLine="284"/>
      <w:outlineLvl w:val="6"/>
    </w:pPr>
    <w:rPr>
      <w:rFonts w:ascii="Arial" w:hAnsi="Arial" w:cs="Arial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Arial" w:hAnsi="Arial" w:cs="Arial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60" w:lineRule="auto"/>
      <w:ind w:firstLine="284"/>
      <w:jc w:val="both"/>
      <w:outlineLvl w:val="8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footnote text"/>
    <w:basedOn w:val="a"/>
    <w:link w:val="a4"/>
    <w:uiPriority w:val="99"/>
    <w:semiHidden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</w:style>
  <w:style w:type="paragraph" w:styleId="a9">
    <w:name w:val="Body Text"/>
    <w:basedOn w:val="a"/>
    <w:link w:val="aa"/>
    <w:uiPriority w:val="99"/>
    <w:pPr>
      <w:jc w:val="both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rPr>
      <w:sz w:val="20"/>
      <w:szCs w:val="20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  <w:style w:type="paragraph" w:styleId="ad">
    <w:name w:val="Body Text Indent"/>
    <w:basedOn w:val="a"/>
    <w:link w:val="ae"/>
    <w:uiPriority w:val="99"/>
    <w:pPr>
      <w:spacing w:line="480" w:lineRule="auto"/>
      <w:ind w:firstLine="284"/>
      <w:jc w:val="both"/>
    </w:pPr>
    <w:rPr>
      <w:rFonts w:ascii="Arial" w:hAnsi="Arial" w:cs="Arial"/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f">
    <w:name w:val="endnote text"/>
    <w:basedOn w:val="a"/>
    <w:link w:val="af0"/>
    <w:uiPriority w:val="99"/>
    <w:semiHidden/>
  </w:style>
  <w:style w:type="character" w:customStyle="1" w:styleId="af0">
    <w:name w:val="Текст концевой сноски Знак"/>
    <w:link w:val="af"/>
    <w:uiPriority w:val="99"/>
    <w:semiHidden/>
    <w:rPr>
      <w:sz w:val="20"/>
      <w:szCs w:val="20"/>
    </w:rPr>
  </w:style>
  <w:style w:type="character" w:styleId="af1">
    <w:name w:val="endnote reference"/>
    <w:uiPriority w:val="99"/>
    <w:semiHidden/>
    <w:rPr>
      <w:vertAlign w:val="superscript"/>
    </w:rPr>
  </w:style>
  <w:style w:type="paragraph" w:styleId="31">
    <w:name w:val="Body Text 3"/>
    <w:basedOn w:val="a"/>
    <w:link w:val="32"/>
    <w:uiPriority w:val="99"/>
    <w:pPr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33">
    <w:name w:val="Body Text Indent 3"/>
    <w:basedOn w:val="a"/>
    <w:link w:val="34"/>
    <w:uiPriority w:val="99"/>
    <w:pPr>
      <w:spacing w:line="360" w:lineRule="auto"/>
      <w:ind w:left="284"/>
      <w:jc w:val="both"/>
    </w:pPr>
    <w:rPr>
      <w:rFonts w:ascii="Arial" w:hAnsi="Arial" w:cs="Arial"/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customStyle="1" w:styleId="H3">
    <w:name w:val="H3"/>
    <w:basedOn w:val="a"/>
    <w:next w:val="a"/>
    <w:uiPriority w:val="99"/>
    <w:pPr>
      <w:keepNext/>
      <w:spacing w:before="100" w:after="100"/>
      <w:outlineLvl w:val="3"/>
    </w:pPr>
    <w:rPr>
      <w:b/>
      <w:bCs/>
      <w:sz w:val="28"/>
      <w:szCs w:val="28"/>
    </w:rPr>
  </w:style>
  <w:style w:type="paragraph" w:customStyle="1" w:styleId="H4">
    <w:name w:val="H4"/>
    <w:basedOn w:val="a"/>
    <w:next w:val="a"/>
    <w:uiPriority w:val="99"/>
    <w:pPr>
      <w:keepNext/>
      <w:spacing w:before="100" w:after="100"/>
      <w:outlineLvl w:val="4"/>
    </w:pPr>
    <w:rPr>
      <w:b/>
      <w:bCs/>
      <w:sz w:val="24"/>
      <w:szCs w:val="24"/>
    </w:rPr>
  </w:style>
  <w:style w:type="paragraph" w:customStyle="1" w:styleId="H1">
    <w:name w:val="H1"/>
    <w:basedOn w:val="a"/>
    <w:next w:val="a"/>
    <w:uiPriority w:val="99"/>
    <w:pPr>
      <w:keepNext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H2">
    <w:name w:val="H2"/>
    <w:basedOn w:val="a"/>
    <w:next w:val="a"/>
    <w:uiPriority w:val="99"/>
    <w:pPr>
      <w:keepNext/>
      <w:spacing w:before="100" w:after="100"/>
      <w:outlineLvl w:val="2"/>
    </w:pPr>
    <w:rPr>
      <w:b/>
      <w:bCs/>
      <w:sz w:val="36"/>
      <w:szCs w:val="36"/>
    </w:rPr>
  </w:style>
  <w:style w:type="paragraph" w:customStyle="1" w:styleId="af2">
    <w:name w:val="Готовый"/>
    <w:basedOn w:val="a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character" w:styleId="af3">
    <w:name w:val="Hyperlink"/>
    <w:uiPriority w:val="99"/>
    <w:rPr>
      <w:color w:val="0000FF"/>
      <w:u w:val="single"/>
    </w:rPr>
  </w:style>
  <w:style w:type="paragraph" w:customStyle="1" w:styleId="af4">
    <w:name w:val="Список определений"/>
    <w:basedOn w:val="a"/>
    <w:next w:val="af5"/>
    <w:uiPriority w:val="99"/>
    <w:pPr>
      <w:ind w:left="360"/>
    </w:pPr>
    <w:rPr>
      <w:sz w:val="24"/>
      <w:szCs w:val="24"/>
    </w:rPr>
  </w:style>
  <w:style w:type="paragraph" w:customStyle="1" w:styleId="af5">
    <w:name w:val="Термин"/>
    <w:basedOn w:val="a"/>
    <w:next w:val="af4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ГУУ</Company>
  <LinksUpToDate>false</LinksUpToDate>
  <CharactersWithSpaces>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Федор</dc:creator>
  <cp:keywords/>
  <dc:description/>
  <cp:lastModifiedBy>admin</cp:lastModifiedBy>
  <cp:revision>2</cp:revision>
  <dcterms:created xsi:type="dcterms:W3CDTF">2014-03-12T13:37:00Z</dcterms:created>
  <dcterms:modified xsi:type="dcterms:W3CDTF">2014-03-12T13:37:00Z</dcterms:modified>
</cp:coreProperties>
</file>