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7F6" w:rsidRDefault="00894353" w:rsidP="000C77F6">
      <w:pPr>
        <w:pStyle w:val="1"/>
        <w:rPr>
          <w:lang w:val="uk-UA"/>
        </w:rPr>
      </w:pPr>
      <w:r w:rsidRPr="000C77F6">
        <w:rPr>
          <w:kern w:val="0"/>
          <w:lang w:val="uk-UA"/>
        </w:rPr>
        <w:t>Державний кредит</w:t>
      </w:r>
      <w:r w:rsidR="000C77F6" w:rsidRPr="000C77F6">
        <w:rPr>
          <w:lang w:val="uk-UA"/>
        </w:rPr>
        <w:t xml:space="preserve"> </w:t>
      </w:r>
    </w:p>
    <w:p w:rsidR="000C77F6" w:rsidRDefault="000C77F6" w:rsidP="000C77F6">
      <w:pPr>
        <w:widowControl w:val="0"/>
        <w:autoSpaceDE w:val="0"/>
        <w:autoSpaceDN w:val="0"/>
        <w:adjustRightInd w:val="0"/>
        <w:rPr>
          <w:lang w:val="uk-UA"/>
        </w:rPr>
      </w:pP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Державний кредит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складова фінансової системи держави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Інститут держав</w:t>
      </w:r>
      <w:r w:rsidR="00DB30CB">
        <w:rPr>
          <w:lang w:val="uk-UA"/>
        </w:rPr>
        <w:t>ного кредиту є інститутом о</w:t>
      </w:r>
      <w:r w:rsidRPr="000C77F6">
        <w:rPr>
          <w:lang w:val="uk-UA"/>
        </w:rPr>
        <w:t>собливої частини фінансового права, на який поширюють свою дію норми Загальної частини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Йдеться про методи правового регулювання, характерні також для відносин у сфері державного та муніципального кредиту, особливості фінансово-правових норм, статус суб'єктів фінансових відносин, що виникають у сфері залучення коштів шляхом оформлення зовнішніх або внутрішніх позик та повернення таких коштів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Як і в будь-якій іншій сфері фінансової діяльності, у сфері державного кредиту актуальним є питання організації і проведення фінансового контролю, роль якого є визначальною у цій сфері, оскільки йдеться про необхідність обов'язкового повернення залучених коштів та сплату процентів за придбаним кредитом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Державний кредит як метод мобілізації державою додаткових грошових коштів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явище складне й неординарне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Цей процес супроводжується певним ризиком як на стадії виникнення даного виду правовідносин (тобто чи зацікавляться кредитори можливістю вкласти свої гроші в державні цінні папери</w:t>
      </w:r>
      <w:r w:rsidR="000C77F6" w:rsidRPr="000C77F6">
        <w:rPr>
          <w:lang w:val="uk-UA"/>
        </w:rPr>
        <w:t>),</w:t>
      </w:r>
      <w:r w:rsidRPr="000C77F6">
        <w:rPr>
          <w:lang w:val="uk-UA"/>
        </w:rPr>
        <w:t xml:space="preserve"> так і з точки зору доцільності використання запозичених коштів та можливості їх повернути, сплативши передбачену винагороду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Йдеться про наслідки, адже показником ефективності таких операцій є державний борг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Економічний зміст і юридична природа державного кредиту водночас передбачають надходження до державного бюджету, оскільки суми державних позик становлять його доходну частину, та разом з тим ці кошти не дають нових прибутків і повинні погашатися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Власне характерні ознаки добровільності, терміновості, платності і повороткості відмежовують кошти, акумульовані шляхом державного кредиту, від доходів держави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Суми державних позик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державні кошти, оскільки держава може їх вільно використовувати і повністю ними розпоряджатися, однак за своїм фінансовим і економічним характером вони істотно відрізняються від постійних доходів, оскільки пов'язані з певними видатками</w:t>
      </w:r>
      <w:r w:rsidR="000C77F6" w:rsidRPr="000C77F6">
        <w:rPr>
          <w:lang w:val="uk-UA"/>
        </w:rPr>
        <w:t xml:space="preserve">: </w:t>
      </w:r>
      <w:r w:rsidRPr="000C77F6">
        <w:rPr>
          <w:lang w:val="uk-UA"/>
        </w:rPr>
        <w:t>відшкодуванням вартості державного цінного папера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виплатою процентів за державними позиками тощо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Отже, одержані державою суми державних позик згодом тягнуть за собою видатки з державного бюджету на погашення державного боргу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Як і інші сфери фінансової діяльності держави, відносини у галузі зовнішніх та внутрішніх запозичень є предметом постійного контролю з боку уповноважених фінансових органів та органів загальної компетенції</w:t>
      </w:r>
      <w:r w:rsidR="000C77F6" w:rsidRPr="000C77F6">
        <w:rPr>
          <w:lang w:val="uk-UA"/>
        </w:rPr>
        <w:t>.</w:t>
      </w:r>
    </w:p>
    <w:p w:rsidR="00894353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Інститут державного кредиту не допускає однобічності вирішення питання і є надзвичайно чутливим до політичних, економічних змін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Обслуговування і погашення державного боргу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одна з найвагоміших витратних статей державного бюджету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Проте, з власного досвіду і досвіду зарубіжних країн відомо, що найкраще запозичені кошти спрямовувати до виробничої сфери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Залежно від того, які галузі народного господарства фінансуватимуться за рахунок цих коштів, визначаються терміни, на які можна їх вкладати, з тим щоб сплата процентів здійснювалася за рахунок одержаних доходів від проінвестованих галузей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Принцип цільового використання позичених коштів є виправданим на будь-якому рівні чи за будь-якої форми кредитування</w:t>
      </w:r>
      <w:r w:rsidR="000C77F6" w:rsidRPr="000C77F6">
        <w:rPr>
          <w:lang w:val="uk-UA"/>
        </w:rPr>
        <w:t xml:space="preserve">: </w:t>
      </w:r>
      <w:r w:rsidRPr="000C77F6">
        <w:rPr>
          <w:lang w:val="uk-UA"/>
        </w:rPr>
        <w:t>банківський кредит, державне кредитування, кредити, надані міжнародними фінансово-кредитними установами тощо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Водночас використання позик на погашення заборгованості з заробітної плати, погашення раніше випущених позик тощо не вирішує проблему в глобальному розумінні, а лише збільшує незабезпечений борг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 умовах перебудови економіки слід налагоджувати, розширювати, за потреби перебудовувати національне виробництво, з тим щоб створювати робочі місця, конкурентоспроможну національну продукцію, оживляти міжнародні економічні зв'язки тощо</w:t>
      </w:r>
      <w:r w:rsidR="000C77F6" w:rsidRPr="000C77F6">
        <w:rPr>
          <w:lang w:val="uk-UA"/>
        </w:rPr>
        <w:t xml:space="preserve">. 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Державний кредит дістає своє відображення у сумах державного боргу, який виникає у держави перед зовнішніми та внутрішніми позичальниками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Зрозуміло, що державний борг, як і будь-яка інша категорія фінансового права, є водночас предметом дослідження фінансової науки, економіки тощо, тобто має складну природу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Державний борг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це загальний розмір, накопиченої заборгованості уряду власникам державних цінних паперів, який дорівнює сумі минулих бюджетних дефіцитів за вирахуванням бюджетних надлишків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Державний борг складається з внутрішнього та зовнішнього боргу держави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Відповідно до ст</w:t>
      </w:r>
      <w:r w:rsidR="000C77F6" w:rsidRPr="000C77F6">
        <w:rPr>
          <w:lang w:val="uk-UA"/>
        </w:rPr>
        <w:t>.1</w:t>
      </w:r>
      <w:r w:rsidRPr="000C77F6">
        <w:rPr>
          <w:lang w:val="uk-UA"/>
        </w:rPr>
        <w:t>2 Бюджетного кодексу України класифікація боргу систематизує інформацію про всі боргові зобов'язання держави, Автономної Республіки Крим, місцевого самоврядування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Борг класифікується за типом кредитора та за типом боргового зобов'язання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Бюджетне законодавство встановлює також вимоги щодо граничного обсягу боргу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Зокрема, граничний обсяг внутрішнього та зовнішнього державного боргу, боргу Автономної Республіки Крим чи місцевого самоврядування, граничний обсяг надання гарантій встановлюються на кожний бюджетний період згідно з Законом про Державний бюджет України чи рішенням про місцевий бюджет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Величина основної суми державного боргу має не перевищувати 60</w:t>
      </w:r>
      <w:r w:rsidR="000C77F6" w:rsidRPr="000C77F6">
        <w:rPr>
          <w:lang w:val="uk-UA"/>
        </w:rPr>
        <w:t>%</w:t>
      </w:r>
      <w:r w:rsidRPr="000C77F6">
        <w:rPr>
          <w:lang w:val="uk-UA"/>
        </w:rPr>
        <w:t xml:space="preserve"> фактичного річного обсягу валового внутрішнього продукту України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У разі перевищення зазначеної граничної величини Кабінет Міністрів України зобов'язаний вжити заходів для приведення цієї величини у відповідність з встановленими законодавством вимогами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Внутрішній державний борг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заборгованість держави домогосподарствам і фірмам даної країни, які володіють цінними паперами, випущеними її урядом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Внутрішній борг України умовно можна поділити на боргові зобов'язання двох видів</w:t>
      </w:r>
      <w:r w:rsidR="000C77F6" w:rsidRPr="000C77F6">
        <w:rPr>
          <w:lang w:val="uk-UA"/>
        </w:rPr>
        <w:t xml:space="preserve">: </w:t>
      </w:r>
      <w:r w:rsidRPr="000C77F6">
        <w:rPr>
          <w:lang w:val="uk-UA"/>
        </w:rPr>
        <w:t>ринкові, що існують у формі державних емісійних цінних паперів, та неринкові, що виникли за підсумками виконання державного бюджету, інші позики та зобов'язання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До нього належить також заборгованість, що утворилася в результаті компенсації гарантованих заощаджень громадян чи інших державних боргових сертифікатів Радянського Союзу, розміщених свого часу серед населення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 Україні виник специфічний державний борг перед населенням через несвоєчасну виплату заробітної плати, пенсій, стипендій, інші соціальні програми та виплати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Відповідно до законів України "Про державний внутрішній борг України", "Про структуру державного внутрішнього боргу України за станом на 1 січня 1996 р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і граничний розмір державного внутрішнього боргу України на 1996 та 1997 роки", постанови Верховної Ради України "Про структуру бюджетної класифікації" * державний внутрішній борг має свою структуру, в якій відображається заборгованість Уряду України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1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Заборгованість перед юридичними особами</w:t>
      </w:r>
      <w:r w:rsidR="000C77F6" w:rsidRPr="000C77F6">
        <w:rPr>
          <w:lang w:val="uk-UA"/>
        </w:rPr>
        <w:t xml:space="preserve">: </w:t>
      </w:r>
      <w:r w:rsidRPr="000C77F6">
        <w:rPr>
          <w:lang w:val="uk-UA"/>
        </w:rPr>
        <w:t>сума заборгованості за внутрішніми позиками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2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Заборгованість перед банківськими установами, у тому числі</w:t>
      </w:r>
      <w:r w:rsidR="000C77F6" w:rsidRPr="000C77F6">
        <w:rPr>
          <w:lang w:val="uk-UA"/>
        </w:rPr>
        <w:t>: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а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перед Національним банком України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б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 позиками, одержаними для фінансування дефіциту бюджету поточного року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в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 позиками, одержаними для фінансування дефіциту бюджету минулих років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г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 іншими позиками та зобов'язаннями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д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 компенсаційними виплатами населенню в установах Ощадного банку України та колишнього Укрдержстраху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е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 залишками вкладів населення, централізованими колишнім Ощадним банком СРСР, та компенсаціями за ними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є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заборгованість перед іншими банками</w:t>
      </w:r>
      <w:r w:rsidR="000C77F6" w:rsidRPr="000C77F6">
        <w:rPr>
          <w:lang w:val="uk-UA"/>
        </w:rPr>
        <w:t xml:space="preserve">.3. </w:t>
      </w:r>
      <w:r w:rsidRPr="000C77F6">
        <w:rPr>
          <w:lang w:val="uk-UA"/>
        </w:rPr>
        <w:t>Заборгованість сільськогосподарських підприємств за довгостроковими та короткостроковими позикам, віднесена на державний борг</w:t>
      </w:r>
      <w:r w:rsidR="000C77F6" w:rsidRPr="000C77F6">
        <w:rPr>
          <w:lang w:val="uk-UA"/>
        </w:rPr>
        <w:t>.</w:t>
      </w:r>
    </w:p>
    <w:p w:rsidR="00894353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4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За сумами, спрямованими на індексацію оборотних коштів державних підприємств і організацій</w:t>
      </w:r>
      <w:r w:rsidR="000C77F6" w:rsidRPr="000C77F6">
        <w:rPr>
          <w:lang w:val="uk-UA"/>
        </w:rPr>
        <w:t xml:space="preserve">. 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5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Інша внутрішня заборгованість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6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Заборгованість перед фізичними особами за цінними паперами та компенсаціями за ними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Слід зазначити, що структура державного боргу згідно із Законом України "Про державний внутрішній борг України" повинна визначатися щорічно Верховною Радою України водночас із затвердженням Державного бюджету України на наступний рік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Зовнішній державний борг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це заборгованість держави перед іноземними громадянами, фірмами, урядами та міжнародними фінансовими організаціями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В індустріальне розвинутих країнах порівняно незначна частка сукупного державного боргу відноситься на зовнішній борг, переважна частина державного боргу припадає на вітчизняних інвесторів</w:t>
      </w:r>
      <w:r w:rsidR="000C77F6" w:rsidRPr="000C77F6">
        <w:rPr>
          <w:lang w:val="uk-UA"/>
        </w:rPr>
        <w:t>.</w:t>
      </w:r>
    </w:p>
    <w:p w:rsidR="000C77F6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Основними причинами створення і збільшення державного боргу є</w:t>
      </w:r>
      <w:r w:rsidR="000C77F6" w:rsidRPr="000C77F6">
        <w:rPr>
          <w:lang w:val="uk-UA"/>
        </w:rPr>
        <w:t xml:space="preserve">: </w:t>
      </w:r>
      <w:r w:rsidRPr="000C77F6">
        <w:rPr>
          <w:lang w:val="uk-UA"/>
        </w:rPr>
        <w:t>збільшення державних видатків без відповідного зростання державних доходів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циклічні спади й автоматичні стабілізатори економіки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скорочення податків з метою стимулювання економіки без відповідного коригування (зменшення</w:t>
      </w:r>
      <w:r w:rsidR="000C77F6" w:rsidRPr="000C77F6">
        <w:rPr>
          <w:lang w:val="uk-UA"/>
        </w:rPr>
        <w:t xml:space="preserve">) </w:t>
      </w:r>
      <w:r w:rsidRPr="000C77F6">
        <w:rPr>
          <w:lang w:val="uk-UA"/>
        </w:rPr>
        <w:t>державних витрат</w:t>
      </w:r>
      <w:r w:rsidR="000C77F6" w:rsidRPr="000C77F6">
        <w:rPr>
          <w:lang w:val="uk-UA"/>
        </w:rPr>
        <w:t xml:space="preserve">; </w:t>
      </w:r>
      <w:r w:rsidRPr="000C77F6">
        <w:rPr>
          <w:lang w:val="uk-UA"/>
        </w:rPr>
        <w:t>вплив політичних бізнес-циклів</w:t>
      </w:r>
      <w:r w:rsidR="000C77F6" w:rsidRPr="000C77F6">
        <w:rPr>
          <w:lang w:val="uk-UA"/>
        </w:rPr>
        <w:t xml:space="preserve"> - </w:t>
      </w:r>
      <w:r w:rsidRPr="000C77F6">
        <w:rPr>
          <w:lang w:val="uk-UA"/>
        </w:rPr>
        <w:t>надмірне збільшення видатків напередодні виборів для завоювання популярності виборців та збереження влади</w:t>
      </w:r>
      <w:r w:rsidR="000C77F6" w:rsidRPr="000C77F6">
        <w:rPr>
          <w:lang w:val="uk-UA"/>
        </w:rPr>
        <w:t>.</w:t>
      </w:r>
    </w:p>
    <w:p w:rsidR="007F3C0C" w:rsidRPr="000C77F6" w:rsidRDefault="00894353" w:rsidP="000C77F6">
      <w:pPr>
        <w:widowControl w:val="0"/>
        <w:autoSpaceDE w:val="0"/>
        <w:autoSpaceDN w:val="0"/>
        <w:adjustRightInd w:val="0"/>
        <w:rPr>
          <w:lang w:val="uk-UA"/>
        </w:rPr>
      </w:pPr>
      <w:r w:rsidRPr="000C77F6">
        <w:rPr>
          <w:lang w:val="uk-UA"/>
        </w:rPr>
        <w:t>Існує позитивний взаємозв'язок між розмірами бюджетного дефіциту і державного боргу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Бюджетний дефіцит збільшує державний борг, а зростання боргу у свою чергу потребує додаткових витрат бюджету на його обслуговування і тим самим збільшує бюджетний дефіцит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На обсягу бюджетного дефіциту відображаються всі зміни у величині державного боргу, в тому числі зумовлені впливом інфляції</w:t>
      </w:r>
      <w:r w:rsidR="000C77F6" w:rsidRPr="000C77F6">
        <w:rPr>
          <w:lang w:val="uk-UA"/>
        </w:rPr>
        <w:t xml:space="preserve">. </w:t>
      </w:r>
      <w:r w:rsidRPr="000C77F6">
        <w:rPr>
          <w:lang w:val="uk-UA"/>
        </w:rPr>
        <w:t>Тому важливо, щоб державна заборгованість вимірювалася у реальних,</w:t>
      </w:r>
      <w:r w:rsidR="000C77F6" w:rsidRPr="000C77F6">
        <w:rPr>
          <w:lang w:val="uk-UA"/>
        </w:rPr>
        <w:t xml:space="preserve"> </w:t>
      </w:r>
      <w:r w:rsidRPr="000C77F6">
        <w:rPr>
          <w:lang w:val="uk-UA"/>
        </w:rPr>
        <w:t>а не лише в номінальних величинах</w:t>
      </w:r>
      <w:r w:rsidR="000C77F6" w:rsidRPr="000C77F6">
        <w:rPr>
          <w:lang w:val="uk-UA"/>
        </w:rPr>
        <w:t xml:space="preserve">. </w:t>
      </w:r>
      <w:bookmarkStart w:id="0" w:name="_GoBack"/>
      <w:bookmarkEnd w:id="0"/>
    </w:p>
    <w:sectPr w:rsidR="007F3C0C" w:rsidRPr="000C77F6" w:rsidSect="000C77F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36EC" w:rsidRDefault="00ED36EC">
      <w:pPr>
        <w:widowControl w:val="0"/>
        <w:autoSpaceDE w:val="0"/>
        <w:autoSpaceDN w:val="0"/>
        <w:adjustRightInd w:val="0"/>
      </w:pPr>
      <w:r>
        <w:separator/>
      </w:r>
    </w:p>
  </w:endnote>
  <w:endnote w:type="continuationSeparator" w:id="0">
    <w:p w:rsidR="00ED36EC" w:rsidRDefault="00ED36EC">
      <w:pPr>
        <w:widowControl w:val="0"/>
        <w:autoSpaceDE w:val="0"/>
        <w:autoSpaceDN w:val="0"/>
        <w:adjustRightInd w:val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B" w:rsidRDefault="00DB30CB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B" w:rsidRDefault="00DB30C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36EC" w:rsidRDefault="00ED36E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:rsidR="00ED36EC" w:rsidRDefault="00ED36EC">
      <w:pPr>
        <w:widowControl w:val="0"/>
        <w:autoSpaceDE w:val="0"/>
        <w:autoSpaceDN w:val="0"/>
        <w:adjustRightInd w:val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B" w:rsidRDefault="00077CF6" w:rsidP="000C77F6">
    <w:pPr>
      <w:pStyle w:val="a7"/>
      <w:framePr w:wrap="auto" w:vAnchor="text" w:hAnchor="margin" w:xAlign="right" w:y="1"/>
      <w:rPr>
        <w:rStyle w:val="af3"/>
      </w:rPr>
    </w:pPr>
    <w:r>
      <w:rPr>
        <w:rStyle w:val="af3"/>
      </w:rPr>
      <w:t>2</w:t>
    </w:r>
  </w:p>
  <w:p w:rsidR="00DB30CB" w:rsidRDefault="00DB30CB" w:rsidP="000C77F6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0CB" w:rsidRDefault="00DB30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4353"/>
    <w:rsid w:val="0000066F"/>
    <w:rsid w:val="0000466B"/>
    <w:rsid w:val="00027D99"/>
    <w:rsid w:val="00035953"/>
    <w:rsid w:val="00040DB4"/>
    <w:rsid w:val="00051611"/>
    <w:rsid w:val="00064BDD"/>
    <w:rsid w:val="00071367"/>
    <w:rsid w:val="00074315"/>
    <w:rsid w:val="00077CF6"/>
    <w:rsid w:val="000B1C29"/>
    <w:rsid w:val="000C7488"/>
    <w:rsid w:val="000C77F6"/>
    <w:rsid w:val="000D2790"/>
    <w:rsid w:val="000F083E"/>
    <w:rsid w:val="000F77A2"/>
    <w:rsid w:val="00100F41"/>
    <w:rsid w:val="001156A5"/>
    <w:rsid w:val="00137124"/>
    <w:rsid w:val="00155CDE"/>
    <w:rsid w:val="00186986"/>
    <w:rsid w:val="00191BC1"/>
    <w:rsid w:val="001941AB"/>
    <w:rsid w:val="001B6ECB"/>
    <w:rsid w:val="001C3DEC"/>
    <w:rsid w:val="001D6F90"/>
    <w:rsid w:val="001D734F"/>
    <w:rsid w:val="001D744C"/>
    <w:rsid w:val="001F1BC6"/>
    <w:rsid w:val="001F4B5B"/>
    <w:rsid w:val="00224F21"/>
    <w:rsid w:val="0025194D"/>
    <w:rsid w:val="002559D1"/>
    <w:rsid w:val="00261660"/>
    <w:rsid w:val="0027646A"/>
    <w:rsid w:val="00277E80"/>
    <w:rsid w:val="002944F9"/>
    <w:rsid w:val="002C0B02"/>
    <w:rsid w:val="002D13CE"/>
    <w:rsid w:val="002D3F52"/>
    <w:rsid w:val="002D680D"/>
    <w:rsid w:val="002D793B"/>
    <w:rsid w:val="002E018D"/>
    <w:rsid w:val="002E3AD5"/>
    <w:rsid w:val="002E4257"/>
    <w:rsid w:val="0030746E"/>
    <w:rsid w:val="00307B98"/>
    <w:rsid w:val="00334F08"/>
    <w:rsid w:val="00351232"/>
    <w:rsid w:val="00353351"/>
    <w:rsid w:val="00396EDA"/>
    <w:rsid w:val="003E72DC"/>
    <w:rsid w:val="003F2527"/>
    <w:rsid w:val="003F3A86"/>
    <w:rsid w:val="004010B7"/>
    <w:rsid w:val="004040D7"/>
    <w:rsid w:val="00413205"/>
    <w:rsid w:val="00417936"/>
    <w:rsid w:val="00431F61"/>
    <w:rsid w:val="00434ECE"/>
    <w:rsid w:val="00454BBD"/>
    <w:rsid w:val="00464A79"/>
    <w:rsid w:val="00465DA3"/>
    <w:rsid w:val="0046634E"/>
    <w:rsid w:val="004749D7"/>
    <w:rsid w:val="004A2731"/>
    <w:rsid w:val="004A4F44"/>
    <w:rsid w:val="004A79A7"/>
    <w:rsid w:val="004C5228"/>
    <w:rsid w:val="004D0061"/>
    <w:rsid w:val="004D076D"/>
    <w:rsid w:val="004E4498"/>
    <w:rsid w:val="004E7119"/>
    <w:rsid w:val="00500AFE"/>
    <w:rsid w:val="005057FE"/>
    <w:rsid w:val="005130F5"/>
    <w:rsid w:val="00513895"/>
    <w:rsid w:val="00522B7E"/>
    <w:rsid w:val="00522BBA"/>
    <w:rsid w:val="00523079"/>
    <w:rsid w:val="0054077B"/>
    <w:rsid w:val="00560DB1"/>
    <w:rsid w:val="00572083"/>
    <w:rsid w:val="00575E73"/>
    <w:rsid w:val="00576536"/>
    <w:rsid w:val="005864AF"/>
    <w:rsid w:val="00596B3C"/>
    <w:rsid w:val="00597F2B"/>
    <w:rsid w:val="005B1781"/>
    <w:rsid w:val="005E070C"/>
    <w:rsid w:val="005E7D7E"/>
    <w:rsid w:val="005F0690"/>
    <w:rsid w:val="005F26F3"/>
    <w:rsid w:val="00615963"/>
    <w:rsid w:val="006167F1"/>
    <w:rsid w:val="00626308"/>
    <w:rsid w:val="006371B2"/>
    <w:rsid w:val="00640CA9"/>
    <w:rsid w:val="00645D11"/>
    <w:rsid w:val="0066093C"/>
    <w:rsid w:val="00667347"/>
    <w:rsid w:val="00681CDF"/>
    <w:rsid w:val="0068400C"/>
    <w:rsid w:val="00686057"/>
    <w:rsid w:val="00687677"/>
    <w:rsid w:val="00690461"/>
    <w:rsid w:val="00691A27"/>
    <w:rsid w:val="0069213D"/>
    <w:rsid w:val="006921DC"/>
    <w:rsid w:val="006A22E8"/>
    <w:rsid w:val="006A7B14"/>
    <w:rsid w:val="006D2F56"/>
    <w:rsid w:val="00700F81"/>
    <w:rsid w:val="0070502D"/>
    <w:rsid w:val="007147EB"/>
    <w:rsid w:val="00733720"/>
    <w:rsid w:val="00734E97"/>
    <w:rsid w:val="00761595"/>
    <w:rsid w:val="007625A0"/>
    <w:rsid w:val="007A3A93"/>
    <w:rsid w:val="007B733B"/>
    <w:rsid w:val="007D16AE"/>
    <w:rsid w:val="007D35B0"/>
    <w:rsid w:val="007F3C0C"/>
    <w:rsid w:val="00805914"/>
    <w:rsid w:val="00814520"/>
    <w:rsid w:val="0081718C"/>
    <w:rsid w:val="008318C0"/>
    <w:rsid w:val="00832487"/>
    <w:rsid w:val="00837094"/>
    <w:rsid w:val="00840791"/>
    <w:rsid w:val="008411F2"/>
    <w:rsid w:val="00853A80"/>
    <w:rsid w:val="008544AC"/>
    <w:rsid w:val="00861556"/>
    <w:rsid w:val="00881CCD"/>
    <w:rsid w:val="00894353"/>
    <w:rsid w:val="008A4396"/>
    <w:rsid w:val="008B669C"/>
    <w:rsid w:val="008E0328"/>
    <w:rsid w:val="008E5891"/>
    <w:rsid w:val="008E7F18"/>
    <w:rsid w:val="008F4EED"/>
    <w:rsid w:val="00944992"/>
    <w:rsid w:val="00966486"/>
    <w:rsid w:val="009B316D"/>
    <w:rsid w:val="009B58BF"/>
    <w:rsid w:val="009C07C1"/>
    <w:rsid w:val="009C741A"/>
    <w:rsid w:val="009D4B44"/>
    <w:rsid w:val="009D7CD5"/>
    <w:rsid w:val="00A12751"/>
    <w:rsid w:val="00A16032"/>
    <w:rsid w:val="00A23EB8"/>
    <w:rsid w:val="00A252C6"/>
    <w:rsid w:val="00A35C68"/>
    <w:rsid w:val="00A4220A"/>
    <w:rsid w:val="00A4236A"/>
    <w:rsid w:val="00A66710"/>
    <w:rsid w:val="00A93704"/>
    <w:rsid w:val="00A973C0"/>
    <w:rsid w:val="00A97A98"/>
    <w:rsid w:val="00AA09EC"/>
    <w:rsid w:val="00AA4891"/>
    <w:rsid w:val="00AB4937"/>
    <w:rsid w:val="00AD08F0"/>
    <w:rsid w:val="00AD723F"/>
    <w:rsid w:val="00AE7A0D"/>
    <w:rsid w:val="00AF5A90"/>
    <w:rsid w:val="00B32110"/>
    <w:rsid w:val="00B3724F"/>
    <w:rsid w:val="00B41A5D"/>
    <w:rsid w:val="00B425ED"/>
    <w:rsid w:val="00B645EA"/>
    <w:rsid w:val="00B65A92"/>
    <w:rsid w:val="00B72434"/>
    <w:rsid w:val="00B84C98"/>
    <w:rsid w:val="00B85093"/>
    <w:rsid w:val="00B87D3D"/>
    <w:rsid w:val="00B93599"/>
    <w:rsid w:val="00B94C99"/>
    <w:rsid w:val="00B97E73"/>
    <w:rsid w:val="00BA418D"/>
    <w:rsid w:val="00BB5D2A"/>
    <w:rsid w:val="00BD5955"/>
    <w:rsid w:val="00BE35BD"/>
    <w:rsid w:val="00BE4CF4"/>
    <w:rsid w:val="00BE689C"/>
    <w:rsid w:val="00BF25F8"/>
    <w:rsid w:val="00BF4FC3"/>
    <w:rsid w:val="00C00EA0"/>
    <w:rsid w:val="00C1046F"/>
    <w:rsid w:val="00C112F0"/>
    <w:rsid w:val="00C23A6E"/>
    <w:rsid w:val="00C31EDD"/>
    <w:rsid w:val="00C67474"/>
    <w:rsid w:val="00C7073A"/>
    <w:rsid w:val="00C778DF"/>
    <w:rsid w:val="00C970C5"/>
    <w:rsid w:val="00CA4420"/>
    <w:rsid w:val="00CA6F88"/>
    <w:rsid w:val="00CB2770"/>
    <w:rsid w:val="00CB78A4"/>
    <w:rsid w:val="00CD33C7"/>
    <w:rsid w:val="00CE2409"/>
    <w:rsid w:val="00CF3172"/>
    <w:rsid w:val="00CF3D29"/>
    <w:rsid w:val="00CF5DBA"/>
    <w:rsid w:val="00CF75AF"/>
    <w:rsid w:val="00D23B92"/>
    <w:rsid w:val="00D6182F"/>
    <w:rsid w:val="00D67240"/>
    <w:rsid w:val="00D845CE"/>
    <w:rsid w:val="00DB30CB"/>
    <w:rsid w:val="00DB54A6"/>
    <w:rsid w:val="00DB5C42"/>
    <w:rsid w:val="00DB7F79"/>
    <w:rsid w:val="00DC18E5"/>
    <w:rsid w:val="00DF5726"/>
    <w:rsid w:val="00E15E2A"/>
    <w:rsid w:val="00E208DC"/>
    <w:rsid w:val="00E312AE"/>
    <w:rsid w:val="00E366B2"/>
    <w:rsid w:val="00E56F2C"/>
    <w:rsid w:val="00E60294"/>
    <w:rsid w:val="00E65C14"/>
    <w:rsid w:val="00E712A3"/>
    <w:rsid w:val="00E9381E"/>
    <w:rsid w:val="00E94F15"/>
    <w:rsid w:val="00EA166A"/>
    <w:rsid w:val="00EC15F3"/>
    <w:rsid w:val="00EC5D7E"/>
    <w:rsid w:val="00ED0C4C"/>
    <w:rsid w:val="00ED36EC"/>
    <w:rsid w:val="00ED6718"/>
    <w:rsid w:val="00EF55A0"/>
    <w:rsid w:val="00F07CA9"/>
    <w:rsid w:val="00F24ED2"/>
    <w:rsid w:val="00F27461"/>
    <w:rsid w:val="00F301EE"/>
    <w:rsid w:val="00F36CAE"/>
    <w:rsid w:val="00F60F43"/>
    <w:rsid w:val="00F743D6"/>
    <w:rsid w:val="00F82A9B"/>
    <w:rsid w:val="00F872FA"/>
    <w:rsid w:val="00FA1375"/>
    <w:rsid w:val="00FA20AD"/>
    <w:rsid w:val="00FA5BC0"/>
    <w:rsid w:val="00FB67B7"/>
    <w:rsid w:val="00FE75AB"/>
    <w:rsid w:val="00FF0716"/>
    <w:rsid w:val="00FF120A"/>
    <w:rsid w:val="00FF4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A849E2C-3B1D-45CB-8B0C-5B28B3AD7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uiPriority w:val="99"/>
    <w:qFormat/>
    <w:rsid w:val="000C77F6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C77F6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0C77F6"/>
    <w:pPr>
      <w:keepNext/>
      <w:widowControl w:val="0"/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0C77F6"/>
    <w:pPr>
      <w:keepNext/>
      <w:widowControl w:val="0"/>
      <w:autoSpaceDE w:val="0"/>
      <w:autoSpaceDN w:val="0"/>
      <w:adjustRightInd w:val="0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C77F6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C77F6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C77F6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C77F6"/>
    <w:pPr>
      <w:keepNext/>
      <w:widowControl w:val="0"/>
      <w:autoSpaceDE w:val="0"/>
      <w:autoSpaceDN w:val="0"/>
      <w:adjustRightInd w:val="0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C77F6"/>
    <w:pPr>
      <w:keepNext/>
      <w:widowControl w:val="0"/>
      <w:autoSpaceDE w:val="0"/>
      <w:autoSpaceDN w:val="0"/>
      <w:adjustRightInd w:val="0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Normal (Web)"/>
    <w:basedOn w:val="a2"/>
    <w:uiPriority w:val="99"/>
    <w:rsid w:val="000C77F6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lang w:val="uk-UA" w:eastAsia="uk-UA"/>
    </w:rPr>
  </w:style>
  <w:style w:type="paragraph" w:styleId="a7">
    <w:name w:val="header"/>
    <w:basedOn w:val="a2"/>
    <w:next w:val="a8"/>
    <w:link w:val="a9"/>
    <w:uiPriority w:val="99"/>
    <w:rsid w:val="000C77F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footnote reference"/>
    <w:uiPriority w:val="99"/>
    <w:semiHidden/>
    <w:rsid w:val="000C77F6"/>
    <w:rPr>
      <w:sz w:val="28"/>
      <w:szCs w:val="28"/>
      <w:vertAlign w:val="superscript"/>
    </w:rPr>
  </w:style>
  <w:style w:type="paragraph" w:styleId="a8">
    <w:name w:val="Body Text"/>
    <w:basedOn w:val="a2"/>
    <w:link w:val="ab"/>
    <w:uiPriority w:val="99"/>
    <w:rsid w:val="000C77F6"/>
    <w:pPr>
      <w:widowControl w:val="0"/>
      <w:autoSpaceDE w:val="0"/>
      <w:autoSpaceDN w:val="0"/>
      <w:adjustRightInd w:val="0"/>
    </w:pPr>
  </w:style>
  <w:style w:type="character" w:customStyle="1" w:styleId="ab">
    <w:name w:val="Основний текст Знак"/>
    <w:link w:val="a8"/>
    <w:uiPriority w:val="99"/>
    <w:semiHidden/>
    <w:rPr>
      <w:rFonts w:ascii="Times New Roman" w:hAnsi="Times New Roman"/>
      <w:sz w:val="28"/>
      <w:szCs w:val="28"/>
    </w:rPr>
  </w:style>
  <w:style w:type="paragraph" w:customStyle="1" w:styleId="ac">
    <w:name w:val="выделение"/>
    <w:uiPriority w:val="99"/>
    <w:rsid w:val="000C77F6"/>
    <w:pPr>
      <w:spacing w:line="360" w:lineRule="auto"/>
      <w:ind w:firstLine="709"/>
      <w:jc w:val="both"/>
    </w:pPr>
    <w:rPr>
      <w:rFonts w:ascii="Times New Roman" w:hAnsi="Times New Roman"/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0C77F6"/>
    <w:rPr>
      <w:color w:val="0000FF"/>
      <w:u w:val="single"/>
    </w:rPr>
  </w:style>
  <w:style w:type="character" w:customStyle="1" w:styleId="11">
    <w:name w:val="Текст Знак1"/>
    <w:link w:val="ae"/>
    <w:uiPriority w:val="99"/>
    <w:locked/>
    <w:rsid w:val="000C77F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e">
    <w:name w:val="Plain Text"/>
    <w:basedOn w:val="a2"/>
    <w:link w:val="11"/>
    <w:uiPriority w:val="99"/>
    <w:rsid w:val="000C77F6"/>
    <w:pPr>
      <w:widowControl w:val="0"/>
      <w:autoSpaceDE w:val="0"/>
      <w:autoSpaceDN w:val="0"/>
      <w:adjustRightInd w:val="0"/>
    </w:pPr>
    <w:rPr>
      <w:rFonts w:ascii="Consolas" w:eastAsia="Times New Roman" w:hAnsi="Consolas" w:cs="Consolas"/>
      <w:sz w:val="21"/>
      <w:szCs w:val="21"/>
      <w:lang w:val="uk-UA" w:eastAsia="en-US"/>
    </w:rPr>
  </w:style>
  <w:style w:type="character" w:customStyle="1" w:styleId="af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0">
    <w:name w:val="Нижній колонтитул Знак"/>
    <w:link w:val="af1"/>
    <w:uiPriority w:val="99"/>
    <w:semiHidden/>
    <w:locked/>
    <w:rsid w:val="000C77F6"/>
    <w:rPr>
      <w:sz w:val="28"/>
      <w:szCs w:val="28"/>
      <w:lang w:val="ru-RU" w:eastAsia="ru-RU"/>
    </w:rPr>
  </w:style>
  <w:style w:type="paragraph" w:styleId="af1">
    <w:name w:val="footer"/>
    <w:basedOn w:val="a2"/>
    <w:link w:val="af0"/>
    <w:uiPriority w:val="99"/>
    <w:semiHidden/>
    <w:rsid w:val="000C77F6"/>
    <w:pPr>
      <w:widowControl w:val="0"/>
      <w:tabs>
        <w:tab w:val="center" w:pos="4819"/>
        <w:tab w:val="right" w:pos="9639"/>
      </w:tabs>
      <w:autoSpaceDE w:val="0"/>
      <w:autoSpaceDN w:val="0"/>
      <w:adjustRightInd w:val="0"/>
    </w:pPr>
  </w:style>
  <w:style w:type="character" w:customStyle="1" w:styleId="af2">
    <w:name w:val="Нижний колонтитул Знак"/>
    <w:uiPriority w:val="99"/>
    <w:semiHidden/>
    <w:rPr>
      <w:rFonts w:ascii="Times New Roman" w:hAnsi="Times New Roman"/>
      <w:sz w:val="28"/>
      <w:szCs w:val="28"/>
    </w:rPr>
  </w:style>
  <w:style w:type="character" w:customStyle="1" w:styleId="a9">
    <w:name w:val="Верхній колонтитул Знак"/>
    <w:link w:val="a7"/>
    <w:uiPriority w:val="99"/>
    <w:semiHidden/>
    <w:locked/>
    <w:rsid w:val="000C77F6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0C77F6"/>
    <w:pPr>
      <w:widowControl w:val="0"/>
      <w:numPr>
        <w:numId w:val="1"/>
      </w:numPr>
      <w:tabs>
        <w:tab w:val="num" w:pos="1080"/>
      </w:tabs>
      <w:autoSpaceDE w:val="0"/>
      <w:autoSpaceDN w:val="0"/>
      <w:adjustRightInd w:val="0"/>
      <w:jc w:val="left"/>
    </w:pPr>
  </w:style>
  <w:style w:type="character" w:styleId="af3">
    <w:name w:val="page number"/>
    <w:uiPriority w:val="99"/>
    <w:rsid w:val="000C77F6"/>
  </w:style>
  <w:style w:type="character" w:customStyle="1" w:styleId="af4">
    <w:name w:val="номер страницы"/>
    <w:uiPriority w:val="99"/>
    <w:rsid w:val="000C77F6"/>
    <w:rPr>
      <w:sz w:val="28"/>
      <w:szCs w:val="28"/>
    </w:rPr>
  </w:style>
  <w:style w:type="paragraph" w:styleId="12">
    <w:name w:val="toc 1"/>
    <w:basedOn w:val="a2"/>
    <w:next w:val="a2"/>
    <w:autoRedefine/>
    <w:uiPriority w:val="99"/>
    <w:semiHidden/>
    <w:rsid w:val="000C77F6"/>
    <w:pPr>
      <w:widowControl w:val="0"/>
      <w:autoSpaceDE w:val="0"/>
      <w:autoSpaceDN w:val="0"/>
      <w:adjustRightInd w:val="0"/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0C77F6"/>
    <w:pPr>
      <w:widowControl w:val="0"/>
      <w:autoSpaceDE w:val="0"/>
      <w:autoSpaceDN w:val="0"/>
      <w:adjustRightInd w:val="0"/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C77F6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0C77F6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C77F6"/>
    <w:pPr>
      <w:widowControl w:val="0"/>
      <w:autoSpaceDE w:val="0"/>
      <w:autoSpaceDN w:val="0"/>
      <w:adjustRightInd w:val="0"/>
      <w:ind w:left="958"/>
    </w:pPr>
  </w:style>
  <w:style w:type="paragraph" w:customStyle="1" w:styleId="a">
    <w:name w:val="список ненумерованный"/>
    <w:autoRedefine/>
    <w:uiPriority w:val="99"/>
    <w:rsid w:val="000C77F6"/>
    <w:pPr>
      <w:numPr>
        <w:numId w:val="2"/>
      </w:numPr>
      <w:tabs>
        <w:tab w:val="num" w:pos="0"/>
      </w:tabs>
      <w:spacing w:line="360" w:lineRule="auto"/>
      <w:jc w:val="both"/>
    </w:pPr>
    <w:rPr>
      <w:rFonts w:ascii="Times New Roman" w:hAnsi="Times New Roman"/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C77F6"/>
    <w:pPr>
      <w:numPr>
        <w:numId w:val="3"/>
      </w:numPr>
      <w:spacing w:line="360" w:lineRule="auto"/>
      <w:jc w:val="both"/>
    </w:pPr>
    <w:rPr>
      <w:rFonts w:ascii="Times New Roman" w:hAnsi="Times New Roman"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C77F6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C77F6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0C77F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C77F6"/>
    <w:rPr>
      <w:i/>
      <w:iCs/>
    </w:rPr>
  </w:style>
  <w:style w:type="paragraph" w:customStyle="1" w:styleId="af5">
    <w:name w:val="схема"/>
    <w:basedOn w:val="a2"/>
    <w:uiPriority w:val="99"/>
    <w:rsid w:val="000C77F6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customStyle="1" w:styleId="af6">
    <w:name w:val="ТАБЛИЦА"/>
    <w:next w:val="a2"/>
    <w:autoRedefine/>
    <w:uiPriority w:val="99"/>
    <w:rsid w:val="000C77F6"/>
    <w:pPr>
      <w:spacing w:line="360" w:lineRule="auto"/>
      <w:jc w:val="center"/>
    </w:pPr>
    <w:rPr>
      <w:rFonts w:ascii="Times New Roman" w:hAnsi="Times New Roman"/>
      <w:color w:val="000000"/>
    </w:rPr>
  </w:style>
  <w:style w:type="paragraph" w:styleId="af7">
    <w:name w:val="footnote text"/>
    <w:basedOn w:val="a2"/>
    <w:link w:val="af8"/>
    <w:autoRedefine/>
    <w:uiPriority w:val="99"/>
    <w:semiHidden/>
    <w:rsid w:val="000C77F6"/>
    <w:pPr>
      <w:autoSpaceDE w:val="0"/>
      <w:autoSpaceDN w:val="0"/>
    </w:pPr>
    <w:rPr>
      <w:sz w:val="20"/>
      <w:szCs w:val="20"/>
    </w:rPr>
  </w:style>
  <w:style w:type="character" w:customStyle="1" w:styleId="af8">
    <w:name w:val="Текст виноски Знак"/>
    <w:link w:val="af7"/>
    <w:uiPriority w:val="99"/>
    <w:semiHidden/>
    <w:rPr>
      <w:rFonts w:ascii="Times New Roman" w:hAnsi="Times New Roman"/>
      <w:sz w:val="20"/>
      <w:szCs w:val="20"/>
    </w:rPr>
  </w:style>
  <w:style w:type="paragraph" w:customStyle="1" w:styleId="af9">
    <w:name w:val="титут"/>
    <w:uiPriority w:val="99"/>
    <w:rsid w:val="000C77F6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689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Державний кредит</vt:lpstr>
    </vt:vector>
  </TitlesOfParts>
  <Company>Reanimator Extreme Edition</Company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Державний кредит</dc:title>
  <dc:subject/>
  <dc:creator>www.PHILka.RU</dc:creator>
  <cp:keywords/>
  <dc:description/>
  <cp:lastModifiedBy>Irina</cp:lastModifiedBy>
  <cp:revision>2</cp:revision>
  <dcterms:created xsi:type="dcterms:W3CDTF">2014-08-10T08:48:00Z</dcterms:created>
  <dcterms:modified xsi:type="dcterms:W3CDTF">2014-08-10T08:48:00Z</dcterms:modified>
</cp:coreProperties>
</file>