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E15F10">
      <w:pPr>
        <w:pStyle w:val="5"/>
        <w:spacing w:line="360" w:lineRule="auto"/>
        <w:rPr>
          <w:noProof/>
          <w:sz w:val="36"/>
          <w:lang w:val="uk-UA"/>
        </w:rPr>
      </w:pPr>
    </w:p>
    <w:p w:rsidR="00E15F10" w:rsidRDefault="00911491">
      <w:pPr>
        <w:pStyle w:val="5"/>
        <w:spacing w:line="360" w:lineRule="auto"/>
        <w:rPr>
          <w:noProof/>
          <w:sz w:val="36"/>
          <w:lang w:val="uk-UA"/>
        </w:rPr>
      </w:pPr>
      <w:r>
        <w:rPr>
          <w:noProof/>
          <w:sz w:val="36"/>
          <w:lang w:val="uk-UA"/>
        </w:rPr>
        <w:t>РЕФЕРАТ</w:t>
      </w:r>
    </w:p>
    <w:p w:rsidR="00E15F10" w:rsidRDefault="00911491">
      <w:pPr>
        <w:pStyle w:val="5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на тему:</w:t>
      </w:r>
    </w:p>
    <w:p w:rsidR="00E15F10" w:rsidRDefault="00911491">
      <w:pPr>
        <w:pStyle w:val="5"/>
        <w:spacing w:line="360" w:lineRule="auto"/>
        <w:rPr>
          <w:rFonts w:ascii="Arial" w:hAnsi="Arial" w:cs="Arial"/>
          <w:noProof/>
          <w:sz w:val="52"/>
          <w:lang w:val="uk-UA"/>
        </w:rPr>
      </w:pPr>
      <w:r>
        <w:rPr>
          <w:rFonts w:ascii="Arial" w:hAnsi="Arial" w:cs="Arial"/>
          <w:noProof/>
          <w:sz w:val="52"/>
          <w:lang w:val="uk-UA"/>
        </w:rPr>
        <w:t>Хімічна  зброя</w:t>
      </w:r>
    </w:p>
    <w:p w:rsidR="00E15F10" w:rsidRDefault="00E15F10">
      <w:pPr>
        <w:spacing w:line="360" w:lineRule="auto"/>
        <w:rPr>
          <w:noProof/>
          <w:lang w:val="uk-UA"/>
        </w:rPr>
      </w:pP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i/>
          <w:iCs/>
          <w:noProof/>
          <w:lang w:val="uk-UA"/>
        </w:rPr>
        <w:br w:type="page"/>
        <w:t>Хімічна зброя</w:t>
      </w:r>
      <w:r>
        <w:rPr>
          <w:noProof/>
          <w:lang w:val="uk-UA"/>
        </w:rPr>
        <w:t xml:space="preserve"> – боєприпаси і бойові прилади, вражаючі дії яких засновані на використанні токсичних властивостей отруйних речовин (токсичний – від грець. toxikon – отрута).</w:t>
      </w:r>
    </w:p>
    <w:p w:rsidR="00E15F10" w:rsidRDefault="00E15F10">
      <w:pPr>
        <w:spacing w:line="360" w:lineRule="auto"/>
        <w:jc w:val="center"/>
        <w:rPr>
          <w:b/>
          <w:noProof/>
          <w:lang w:val="uk-UA"/>
        </w:rPr>
      </w:pPr>
    </w:p>
    <w:p w:rsidR="00E15F10" w:rsidRDefault="00911491">
      <w:pPr>
        <w:spacing w:line="360" w:lineRule="auto"/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Характеристика отруйних речовин, засоби і способи захисту від них.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>Основу хімічної зброї складають отруйні речовини (ОР) – токсичні хімічні сполуки, що володіють певними фізичними і хімічними властивостями, що уможливлюють їхнє бойове застосування з метою поразки людей, тварин і зараження місцевості на тривалий період. Знаходячись у бойовому стані, вони вражають організм людини, проникаючи через органи дихання, шкірні покриви і рани. Крім того, людина може одержати поразки в результаті вживання заражених продуктів харчування і води, а також при впливі ОР на слизуваті оболонки очей і носоглотки.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i/>
          <w:iCs/>
          <w:noProof/>
          <w:lang w:val="uk-UA"/>
        </w:rPr>
        <w:t xml:space="preserve">Бойовий стан ОР </w:t>
      </w:r>
      <w:r>
        <w:rPr>
          <w:noProof/>
          <w:lang w:val="uk-UA"/>
        </w:rPr>
        <w:t>– такий стан речовини, у якому він застосовується для досягнення максимального ефекту в поразці людей. Види бойового стану ОР: пара, аерозоль, краплі.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>ОР у стані  пари чи тонкодисперсного аерозолю заражають повітря й вражають людей через органи дихання (інгаляційна поразка).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>За тактичним призначенням і за характером вражаючої дії ОР поділяються на групи: смертельні (для смертельної  поразки чи виводу з ладу людей на тривалий термін), що тимчасово виводять з ладу (діють на нервову систему і викликають психічні розлади),  дратівні і навчальні.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>За фізіологічною дією на організм ОР підрозділяються на нервово-паралітичної дії, шкірнонаривної, загальноотруйної, задушливої, психохімічної і дратівної дії.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 xml:space="preserve">У залежності від тривалості збереження вражаючої здатності ОР підрозділяються на дві групи: </w:t>
      </w:r>
      <w:r>
        <w:rPr>
          <w:i/>
          <w:iCs/>
          <w:noProof/>
          <w:lang w:val="uk-UA"/>
        </w:rPr>
        <w:t>стійкі</w:t>
      </w:r>
      <w:r>
        <w:rPr>
          <w:noProof/>
          <w:lang w:val="uk-UA"/>
        </w:rPr>
        <w:t xml:space="preserve">, які зберігають свою вражаючу дію від декількох годин і доби до декількох тижнів; </w:t>
      </w:r>
      <w:r>
        <w:rPr>
          <w:i/>
          <w:iCs/>
          <w:noProof/>
          <w:lang w:val="uk-UA"/>
        </w:rPr>
        <w:t>нестійкі</w:t>
      </w:r>
      <w:r>
        <w:rPr>
          <w:noProof/>
          <w:lang w:val="uk-UA"/>
        </w:rPr>
        <w:t>, вражаюча дія яких зберігається кілька десятків хвилин після їхнього застосування.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>До хімічної зброї відносять також спеціальні хімічні речовини, що призначені для знищення рослин (гербіциди, дефоліанти й ін.).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ОР у виді грубодисперсного аерозолю чи крапель заражають місцевість, устаткування, техніку, одяг, засоби захисту, водойми і здатні вражати незахищених людей як у момент осідання хмари зараженого повітря, так і після осідання часток ОР унаслідок їхнього випару із заражених поверхонь, а також при контакті людей з цими поверхнями і при вживанні заражених продуктів харчування і води.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 xml:space="preserve">Кількісною характеристикою ступеня зараження різних поверхонь є </w:t>
      </w:r>
      <w:r>
        <w:rPr>
          <w:i/>
          <w:iCs/>
          <w:noProof/>
          <w:lang w:val="uk-UA"/>
        </w:rPr>
        <w:t xml:space="preserve">щільність зараження </w:t>
      </w:r>
      <w:r>
        <w:rPr>
          <w:b/>
          <w:bCs/>
          <w:noProof/>
          <w:lang w:val="uk-UA"/>
        </w:rPr>
        <w:t>Q</w:t>
      </w:r>
      <w:r>
        <w:rPr>
          <w:b/>
          <w:bCs/>
          <w:noProof/>
          <w:vertAlign w:val="subscript"/>
          <w:lang w:val="uk-UA"/>
        </w:rPr>
        <w:t xml:space="preserve">M </w:t>
      </w:r>
      <w:r>
        <w:rPr>
          <w:noProof/>
          <w:lang w:val="uk-UA"/>
        </w:rPr>
        <w:t>– кількість ОР, що знаходиться на одиниці площі зараженої поверхні (г/м</w:t>
      </w:r>
      <w:r>
        <w:rPr>
          <w:noProof/>
          <w:vertAlign w:val="superscript"/>
          <w:lang w:val="uk-UA"/>
        </w:rPr>
        <w:t>2</w:t>
      </w:r>
      <w:r>
        <w:rPr>
          <w:noProof/>
          <w:lang w:val="uk-UA"/>
        </w:rPr>
        <w:t xml:space="preserve">). </w:t>
      </w:r>
    </w:p>
    <w:p w:rsidR="00E15F10" w:rsidRDefault="00911491">
      <w:pPr>
        <w:spacing w:line="360" w:lineRule="auto"/>
        <w:ind w:firstLine="360"/>
        <w:jc w:val="both"/>
        <w:rPr>
          <w:noProof/>
          <w:lang w:val="uk-UA"/>
        </w:rPr>
      </w:pPr>
      <w:r>
        <w:rPr>
          <w:noProof/>
          <w:lang w:val="uk-UA"/>
        </w:rPr>
        <w:t xml:space="preserve">Кількісною характеристикою зараження повітря і джерел води є </w:t>
      </w:r>
      <w:r>
        <w:rPr>
          <w:i/>
          <w:iCs/>
          <w:noProof/>
          <w:lang w:val="uk-UA"/>
        </w:rPr>
        <w:t xml:space="preserve">концентрація ОР </w:t>
      </w:r>
      <w:r>
        <w:rPr>
          <w:noProof/>
          <w:lang w:val="uk-UA"/>
        </w:rPr>
        <w:t>– кількість ОР, що міститься в одиниці об'єму (г/м</w:t>
      </w:r>
      <w:r>
        <w:rPr>
          <w:noProof/>
          <w:vertAlign w:val="superscript"/>
          <w:lang w:val="uk-UA"/>
        </w:rPr>
        <w:t>3</w:t>
      </w:r>
      <w:r>
        <w:rPr>
          <w:noProof/>
          <w:lang w:val="uk-UA"/>
        </w:rPr>
        <w:t>).</w:t>
      </w:r>
    </w:p>
    <w:p w:rsidR="00E15F10" w:rsidRDefault="00E15F10">
      <w:pPr>
        <w:spacing w:line="360" w:lineRule="auto"/>
        <w:ind w:firstLine="720"/>
        <w:rPr>
          <w:noProof/>
          <w:lang w:val="uk-UA"/>
        </w:rPr>
      </w:pPr>
    </w:p>
    <w:p w:rsidR="00E15F10" w:rsidRDefault="00911491">
      <w:pPr>
        <w:spacing w:line="360" w:lineRule="auto"/>
        <w:ind w:firstLine="720"/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ОР нервово-паралітичної дії.</w:t>
      </w:r>
    </w:p>
    <w:p w:rsidR="00E15F10" w:rsidRDefault="00911491">
      <w:pPr>
        <w:spacing w:line="360" w:lineRule="auto"/>
        <w:ind w:firstLine="720"/>
        <w:jc w:val="both"/>
        <w:rPr>
          <w:noProof/>
          <w:lang w:val="uk-UA"/>
        </w:rPr>
      </w:pPr>
      <w:r>
        <w:rPr>
          <w:noProof/>
          <w:lang w:val="uk-UA"/>
        </w:rPr>
        <w:t>VX (Ві-Ікс), зарин (GB), зоман (GD), табун (GA) вражають нервову систему при дії на організм через органи дихання, при проникненні в пароподібному і краплинно-рідинному стані через шкіру, а також при потрапленні  в шлунково-кишковий тракт разом з їжею і водою. Стійкість їх влітку більше доби, взимку - кілька тижнів і навіть місяців. Ці ОР найнебезпечніші. Для поразки людини досить дуже малої їхньої кількості.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Ознаками поразки є: слинотеча, звуження зіниць (міоз), утруднення дихання, нудота, блювота, судоми, параліч.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Як засоби індивідуального захисту використовуються протигаз і захисний одяг. Для надання ураженому першої допомоги на нього надягають протигаз і вводять йому за допомогою  шприц-тюбика чи шляхом прийому таблетки протиотруту. При влученні ОР нервово-паралітичної дії на  шкіру чи одяг уражені місця обробляються рідиною з індивідуального протихімічного пакета (ІПП).</w:t>
      </w:r>
    </w:p>
    <w:p w:rsidR="00E15F10" w:rsidRDefault="00E15F10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ОР шкірнонаривної дії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Іприт (перегнаний (AD), азотистий (HN), технічний (Н)) має багатобічну дію. У краплинно-рідинному і пароподібному стані він вражає шкіру  й очі, при  вдиханні пари – дихальні шляхи і легені, при потраплянні з їжею і водою – органи травлення. Характерна риса іприту – наявність періоду схованої дії (поразка виявляється не відразу, а через якийсь час – 2 год і більше). Ознаками поразки є почервоніння шкіри, утворення дрібних бульбашок, які потім зливаються у великі і через дві-три доби лопаються, переходячи у виразки, що важко гояться. При будь-якій місцевій поразці ОР викликають загальне отруєння організму, що проявляється в підвищенні температури, нездужанні.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 умовах застосування ОР шкірнонаривної дії необхідно знаходитися в протигазі і захисному одязі. При потраплянні крапель ОР на  шкіру чи одяг уражені місця негайно обробляються рідиною з ІПП.</w:t>
      </w:r>
    </w:p>
    <w:p w:rsidR="00E15F10" w:rsidRDefault="00E15F10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ОР задушливої дії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Фосген (CG)  впливає на організм через органи дихання. Ознаками поразки є солодкуватий, неприємний смак у роті, кашель, запаморочення, загальна слабкість. Ці явища після виходу з вогнища зараження проходять, і потерпілий протягом 4-6 год почуває себе нормально, не підозрюючи про отриману поразку. У цей період (схованої дії) розвивається набряк легенів. Потім  може різко погіршитися дихання, з'явитися кашель з рясним мокротинням, головний біль, підвищення температури, задишка, серцебиття.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При поразці на потерпілого надягають протигаз, виводять його з зараженого району, тепло вкривають і забезпечують йому спокій.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Ні в якому разі не можна робити потерпілому штучне дихання!</w:t>
      </w:r>
    </w:p>
    <w:p w:rsidR="00E15F10" w:rsidRDefault="00E15F10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ОР загальноотруйної дії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Синильна кислота (АС) і хлорциан (СК) вражають тільки при вдиханні повітря, зараженого їхніми парами (через шкіру вони не діють). Ознаками поразки є присмак металу в роті, роздратування горла, запаморочення, слабість, нудота, різкі судоми, параліч. Для захисту від цих ОР досить використовувати протигаз.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Для надання допомоги потерпілому треба роздавити ампулу з антидотом, увести її під шолом-маску протигаза. У важких випадках потерпілому роблять штучне дихання, зігрівають його і відправляють у медичний пункт.</w:t>
      </w:r>
    </w:p>
    <w:p w:rsidR="00E15F10" w:rsidRDefault="00E15F10">
      <w:pPr>
        <w:pStyle w:val="a3"/>
        <w:spacing w:line="360" w:lineRule="auto"/>
        <w:rPr>
          <w:noProof/>
          <w:sz w:val="28"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ОР дратівної дії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CS (Сі-Ес), адамсит (DM), хлорацетофенон (СN), CR (Сі-Ар) викликають гостре печіння і біль у роті, горлі й очах, сильну сльозотечу, кашель, утруднення дихання.</w:t>
      </w:r>
    </w:p>
    <w:p w:rsidR="00E15F10" w:rsidRDefault="00E15F10">
      <w:pPr>
        <w:pStyle w:val="a3"/>
        <w:spacing w:line="360" w:lineRule="auto"/>
        <w:rPr>
          <w:noProof/>
          <w:sz w:val="28"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ОР психохімічної дії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BZ (Бі-Зет) специфічно діють на центральну нервову систему і викликають психічні (галюцинації, страх, пригніченість) чи фізичні (сліпота, глухота) розлади.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При поразці ОР дратівного чи психохімічної дії необхідно заражені ділянки тіла обробити мильною водою, а обмундирування витрусити і вичистити щіткою. Потерпілих варто вивести з зараженої ділянки і надати медичну допомогу.</w:t>
      </w:r>
    </w:p>
    <w:p w:rsidR="00E15F10" w:rsidRDefault="00E15F10">
      <w:pPr>
        <w:pStyle w:val="a3"/>
        <w:spacing w:line="360" w:lineRule="auto"/>
        <w:rPr>
          <w:noProof/>
          <w:sz w:val="28"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Бінарні хімічні боєприпаси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На відміну від інших боєприпасів споряджаються двома нетоксичними чи малотоксичними компонентами (ОР), які під час польоту боєприпасів до цілі змішуються і вступають між собою в хімічну реакцію з утворенням високотоксичних ОР, наприклад VX чи зарину.</w:t>
      </w:r>
    </w:p>
    <w:p w:rsidR="00E15F10" w:rsidRDefault="00E15F10">
      <w:pPr>
        <w:pStyle w:val="a3"/>
        <w:spacing w:line="360" w:lineRule="auto"/>
        <w:rPr>
          <w:noProof/>
          <w:sz w:val="28"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Вогнище хімічної поразки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Територія, у межах якої в результаті впливу хімічної зброї відбулися масові поразки людей і сільськогосподарських тварин, називається </w:t>
      </w:r>
      <w:r>
        <w:rPr>
          <w:i/>
          <w:noProof/>
          <w:sz w:val="28"/>
          <w:lang w:val="uk-UA"/>
        </w:rPr>
        <w:t xml:space="preserve">вогнищем поразки. </w:t>
      </w:r>
      <w:r>
        <w:rPr>
          <w:noProof/>
          <w:sz w:val="28"/>
          <w:lang w:val="uk-UA"/>
        </w:rPr>
        <w:t>Розміри його залежать від масштабу і способу застосування ОР, типу ОР, метеорологічних умов, рельєфу місцевості й інших факторів.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Особливо небезпечні стійкі ОР нервово-паралітичної дії, пара яких поширюються в напрямку вітру на досить велику відстань (15-25 км і більше).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Тривалість вражаючої дії ОР тим менше, чим сильніше вітер і висхідні потоки повітря. У лісах, парках, ярах, на вузьких вулицях ОР зберігаються довше, ніж на відкритій місцевості. 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Територія, яка була піддана безпосередньому впливу хімічної зброї, і територія, над якою поширилася хмара зараженого повітря у вражаючих концентраціях, називається </w:t>
      </w:r>
      <w:r>
        <w:rPr>
          <w:i/>
          <w:noProof/>
          <w:sz w:val="28"/>
          <w:lang w:val="uk-UA"/>
        </w:rPr>
        <w:t>зоною</w:t>
      </w:r>
      <w:r>
        <w:rPr>
          <w:noProof/>
          <w:sz w:val="28"/>
          <w:lang w:val="uk-UA"/>
        </w:rPr>
        <w:t xml:space="preserve"> </w:t>
      </w:r>
      <w:r>
        <w:rPr>
          <w:i/>
          <w:noProof/>
          <w:sz w:val="28"/>
          <w:lang w:val="uk-UA"/>
        </w:rPr>
        <w:t xml:space="preserve">хімічного зараження. </w:t>
      </w:r>
      <w:r>
        <w:rPr>
          <w:noProof/>
          <w:sz w:val="28"/>
          <w:lang w:val="uk-UA"/>
        </w:rPr>
        <w:t>Розрізняють первинну і вторинну зони зараження.</w:t>
      </w:r>
    </w:p>
    <w:p w:rsidR="00E15F10" w:rsidRDefault="00911491">
      <w:pPr>
        <w:pStyle w:val="a3"/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Первинна зона зараження утворюється в результаті впливу первинної хмари зараженого повітря, джерелом якого є пара й аерозолі ОР, що з'явилися безпосередньо при розриві хімічних боєприпасів. Вторинна зона зараження утворюється в результаті впливу хмари, що утворюється при випарі крапель ОР, осілих після розриву хімічних боєприпасів.</w:t>
      </w:r>
    </w:p>
    <w:p w:rsidR="00E15F10" w:rsidRDefault="00E15F10">
      <w:pPr>
        <w:spacing w:line="360" w:lineRule="auto"/>
        <w:rPr>
          <w:noProof/>
          <w:lang w:val="uk-UA"/>
        </w:rPr>
      </w:pPr>
    </w:p>
    <w:p w:rsidR="00E15F10" w:rsidRDefault="00E15F10">
      <w:pPr>
        <w:spacing w:line="360" w:lineRule="auto"/>
        <w:rPr>
          <w:noProof/>
          <w:lang w:val="uk-UA"/>
        </w:rPr>
      </w:pPr>
    </w:p>
    <w:p w:rsidR="00E15F10" w:rsidRDefault="00911491">
      <w:pPr>
        <w:pStyle w:val="a3"/>
        <w:spacing w:line="360" w:lineRule="auto"/>
        <w:jc w:val="center"/>
        <w:rPr>
          <w:b/>
          <w:noProof/>
          <w:sz w:val="32"/>
          <w:lang w:val="uk-UA"/>
        </w:rPr>
      </w:pPr>
      <w:r>
        <w:rPr>
          <w:b/>
          <w:noProof/>
          <w:sz w:val="32"/>
          <w:lang w:val="uk-UA"/>
        </w:rPr>
        <w:t>Література</w:t>
      </w:r>
    </w:p>
    <w:p w:rsidR="00E15F10" w:rsidRDefault="00911491">
      <w:pPr>
        <w:pStyle w:val="a3"/>
        <w:numPr>
          <w:ilvl w:val="0"/>
          <w:numId w:val="2"/>
        </w:numPr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Багать А.М. Цивільна оборона. - М.:  Освіта, 1991. – 64 с.: іл.</w:t>
      </w:r>
    </w:p>
    <w:p w:rsidR="00E15F10" w:rsidRDefault="00911491">
      <w:pPr>
        <w:pStyle w:val="a3"/>
        <w:numPr>
          <w:ilvl w:val="0"/>
          <w:numId w:val="2"/>
        </w:numPr>
        <w:spacing w:line="360" w:lineRule="auto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Демиденко Г.П., Кузьменко Є.П., Орлов П.П., Пролигін В.О., Сидоренко М.О. Захист об’єктів народного господарства від зброї масового знищення: Довідник. К.: Вища шк. Головне вид-во, 1989. – 287 с.: іл.</w:t>
      </w:r>
    </w:p>
    <w:p w:rsidR="00E15F10" w:rsidRDefault="00E15F10">
      <w:pPr>
        <w:spacing w:line="360" w:lineRule="auto"/>
        <w:rPr>
          <w:noProof/>
          <w:lang w:val="uk-UA"/>
        </w:rPr>
      </w:pPr>
    </w:p>
    <w:p w:rsidR="00E15F10" w:rsidRDefault="00E15F10">
      <w:pPr>
        <w:rPr>
          <w:noProof/>
          <w:lang w:val="uk-UA"/>
        </w:rPr>
      </w:pPr>
      <w:bookmarkStart w:id="0" w:name="_GoBack"/>
      <w:bookmarkEnd w:id="0"/>
    </w:p>
    <w:sectPr w:rsidR="00E15F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60A6C"/>
    <w:multiLevelType w:val="hybridMultilevel"/>
    <w:tmpl w:val="085290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7975D72"/>
    <w:multiLevelType w:val="hybridMultilevel"/>
    <w:tmpl w:val="FF760532"/>
    <w:lvl w:ilvl="0" w:tplc="81F2A8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491"/>
    <w:rsid w:val="00911491"/>
    <w:rsid w:val="00B378ED"/>
    <w:rsid w:val="00E1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4E8A5-23AC-4EEE-BD30-A859196C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2014-03-29T20:19:00Z</dcterms:created>
  <dcterms:modified xsi:type="dcterms:W3CDTF">2014-03-29T20:19:00Z</dcterms:modified>
</cp:coreProperties>
</file>