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EB277E">
        <w:rPr>
          <w:b/>
          <w:iCs/>
          <w:sz w:val="28"/>
          <w:szCs w:val="28"/>
        </w:rPr>
        <w:t>План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C042ED" w:rsidRPr="00EB277E" w:rsidRDefault="00EB277E" w:rsidP="00EB277E">
      <w:pPr>
        <w:pStyle w:val="11"/>
        <w:widowControl w:val="0"/>
        <w:tabs>
          <w:tab w:val="left" w:pos="1106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A6BC5">
        <w:rPr>
          <w:rStyle w:val="a7"/>
          <w:iCs/>
          <w:noProof/>
          <w:color w:val="auto"/>
          <w:sz w:val="28"/>
          <w:szCs w:val="28"/>
          <w:u w:val="none"/>
        </w:rPr>
        <w:t>Введение</w:t>
      </w:r>
    </w:p>
    <w:p w:rsidR="00C042ED" w:rsidRPr="00EB277E" w:rsidRDefault="00C042ED" w:rsidP="00EB277E">
      <w:pPr>
        <w:pStyle w:val="21"/>
        <w:widowControl w:val="0"/>
        <w:tabs>
          <w:tab w:val="left" w:pos="1106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A6BC5">
        <w:rPr>
          <w:rStyle w:val="a7"/>
          <w:noProof/>
          <w:color w:val="auto"/>
          <w:sz w:val="28"/>
          <w:szCs w:val="28"/>
          <w:u w:val="none"/>
        </w:rPr>
        <w:t>1.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Черты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русской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философии</w:t>
      </w:r>
    </w:p>
    <w:p w:rsidR="00C042ED" w:rsidRPr="00EB277E" w:rsidRDefault="00C042ED" w:rsidP="00EB277E">
      <w:pPr>
        <w:pStyle w:val="21"/>
        <w:widowControl w:val="0"/>
        <w:tabs>
          <w:tab w:val="left" w:pos="1106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A6BC5">
        <w:rPr>
          <w:rStyle w:val="a7"/>
          <w:noProof/>
          <w:color w:val="auto"/>
          <w:sz w:val="28"/>
          <w:szCs w:val="28"/>
          <w:u w:val="none"/>
        </w:rPr>
        <w:t>2.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Специфика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русского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просветительства</w:t>
      </w:r>
    </w:p>
    <w:p w:rsidR="00C042ED" w:rsidRPr="00EB277E" w:rsidRDefault="00C042ED" w:rsidP="00EB277E">
      <w:pPr>
        <w:pStyle w:val="21"/>
        <w:widowControl w:val="0"/>
        <w:tabs>
          <w:tab w:val="left" w:pos="1106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A6BC5">
        <w:rPr>
          <w:rStyle w:val="a7"/>
          <w:noProof/>
          <w:color w:val="auto"/>
          <w:sz w:val="28"/>
          <w:szCs w:val="28"/>
          <w:u w:val="none"/>
        </w:rPr>
        <w:t>3.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Образ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человека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в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философии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русского</w:t>
      </w:r>
      <w:r w:rsidR="00EB277E" w:rsidRPr="007A6BC5">
        <w:rPr>
          <w:rStyle w:val="a7"/>
          <w:noProof/>
          <w:color w:val="auto"/>
          <w:sz w:val="28"/>
          <w:szCs w:val="28"/>
          <w:u w:val="none"/>
        </w:rPr>
        <w:t xml:space="preserve"> </w:t>
      </w:r>
      <w:r w:rsidRPr="007A6BC5">
        <w:rPr>
          <w:rStyle w:val="a7"/>
          <w:noProof/>
          <w:color w:val="auto"/>
          <w:sz w:val="28"/>
          <w:szCs w:val="28"/>
          <w:u w:val="none"/>
        </w:rPr>
        <w:t>Просвещения</w:t>
      </w:r>
    </w:p>
    <w:p w:rsidR="00C042ED" w:rsidRPr="00EB277E" w:rsidRDefault="00EB277E" w:rsidP="00EB277E">
      <w:pPr>
        <w:pStyle w:val="11"/>
        <w:widowControl w:val="0"/>
        <w:tabs>
          <w:tab w:val="left" w:pos="1106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A6BC5">
        <w:rPr>
          <w:rStyle w:val="a7"/>
          <w:noProof/>
          <w:color w:val="auto"/>
          <w:sz w:val="28"/>
          <w:szCs w:val="28"/>
          <w:u w:val="none"/>
        </w:rPr>
        <w:t>Заключение</w:t>
      </w:r>
    </w:p>
    <w:p w:rsidR="00C042ED" w:rsidRPr="00EB277E" w:rsidRDefault="00EB277E" w:rsidP="00EB277E">
      <w:pPr>
        <w:pStyle w:val="11"/>
        <w:widowControl w:val="0"/>
        <w:tabs>
          <w:tab w:val="left" w:pos="1106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A6BC5">
        <w:rPr>
          <w:rStyle w:val="a7"/>
          <w:noProof/>
          <w:color w:val="auto"/>
          <w:sz w:val="28"/>
          <w:szCs w:val="28"/>
          <w:u w:val="none"/>
        </w:rPr>
        <w:t>Список использованной литературы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jc w:val="both"/>
        <w:rPr>
          <w:b/>
          <w:iCs/>
          <w:sz w:val="28"/>
          <w:szCs w:val="28"/>
        </w:rPr>
      </w:pPr>
    </w:p>
    <w:p w:rsidR="00C042ED" w:rsidRPr="00EB277E" w:rsidRDefault="00C042ED" w:rsidP="00EB277E">
      <w:pPr>
        <w:pStyle w:val="1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277E">
        <w:rPr>
          <w:rFonts w:ascii="Times New Roman" w:hAnsi="Times New Roman" w:cs="Times New Roman"/>
          <w:b w:val="0"/>
          <w:iCs/>
          <w:sz w:val="28"/>
          <w:szCs w:val="28"/>
        </w:rPr>
        <w:br w:type="page"/>
      </w:r>
      <w:bookmarkStart w:id="0" w:name="_Toc182650351"/>
      <w:bookmarkStart w:id="1" w:name="_Toc182650378"/>
      <w:r w:rsidR="00E01ABE" w:rsidRPr="00EB277E">
        <w:rPr>
          <w:rFonts w:ascii="Times New Roman" w:hAnsi="Times New Roman" w:cs="Times New Roman"/>
          <w:iCs/>
          <w:sz w:val="28"/>
          <w:szCs w:val="28"/>
        </w:rPr>
        <w:t>Введение</w:t>
      </w:r>
      <w:bookmarkEnd w:id="0"/>
      <w:bookmarkEnd w:id="1"/>
    </w:p>
    <w:p w:rsidR="00C042ED" w:rsidRPr="00EB277E" w:rsidRDefault="00C042ED" w:rsidP="00EB277E">
      <w:pPr>
        <w:pStyle w:val="1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Просвещение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культурно-историческое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захватив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конец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протянулось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образовав</w:t>
      </w:r>
      <w:r w:rsidR="00EB277E">
        <w:rPr>
          <w:sz w:val="28"/>
          <w:szCs w:val="28"/>
        </w:rPr>
        <w:t xml:space="preserve">, </w:t>
      </w:r>
      <w:r w:rsidRPr="00EB277E">
        <w:rPr>
          <w:sz w:val="28"/>
          <w:szCs w:val="28"/>
        </w:rPr>
        <w:t>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«длинный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век».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идеологии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глубокая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мыслью.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«были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созданы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предпосылки,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благодаря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действительностью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помощью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принимать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таким,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сложилось,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планомерно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изменять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превратив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должно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помощью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принимать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таким,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сложилось,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планомерно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изменять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превратив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должно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быть»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(К.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Ясперс)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«Просвещение»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«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«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употребляются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синонимичные</w:t>
      </w:r>
      <w:r w:rsidRPr="00EB277E">
        <w:rPr>
          <w:rStyle w:val="a6"/>
          <w:sz w:val="28"/>
          <w:szCs w:val="28"/>
        </w:rPr>
        <w:footnoteReference w:id="1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Эпоха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характеризовалась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прежде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секуляризации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явилось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формирование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этико-философского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понятийное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структурирование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морального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Внимание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привлечено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проблемам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дефиниций,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структурирования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конкретизации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моральной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высвобождается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из-под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богословия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обращается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изучению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повышается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историческому.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ориентирована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понятийное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структурирование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знания.</w:t>
      </w:r>
      <w:bookmarkStart w:id="2" w:name="_Toc175129551"/>
      <w:bookmarkStart w:id="3" w:name="_Toc175130295"/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Антифеодальная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антикрепостничество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отнюдь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антикрепостническое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пропаганде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социально-экономических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порядков.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люмьеризм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какой-либо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общественно-политической,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социально-экономической,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какой-либо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литературы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искусства.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феномен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широким,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общекультурным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предшествующих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антифеодальных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объективно-буржуазных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половины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трети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сосуществовавших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буржуазно-либеральных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</w:t>
      </w:r>
      <w:r w:rsidRPr="00EB277E">
        <w:rPr>
          <w:rStyle w:val="a6"/>
          <w:sz w:val="28"/>
          <w:szCs w:val="28"/>
        </w:rPr>
        <w:footnoteReference w:id="2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ставили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преобразование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антисредневековых,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антифеодальных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общественно-политической,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социально-экономический,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различиях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между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передовыми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круга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Белинского-Чернышевского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составляют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общекультурное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никто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способствовали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построенной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антисредневековых,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антифеодальных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опирающейся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подлинные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цивилизации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народов.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ряду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пунктов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сходно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либеральным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мировоззрением.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всесторонней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европеизации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вышеуказанных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самобытность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EB277E" w:rsidRDefault="00EB277E">
      <w:pPr>
        <w:spacing w:after="200" w:line="276" w:lineRule="auto"/>
        <w:rPr>
          <w:b/>
          <w:bCs/>
          <w:iCs/>
          <w:sz w:val="28"/>
          <w:szCs w:val="28"/>
        </w:rPr>
      </w:pPr>
      <w:bookmarkStart w:id="4" w:name="_Toc182650352"/>
      <w:bookmarkStart w:id="5" w:name="_Toc182650379"/>
      <w:r>
        <w:rPr>
          <w:i/>
        </w:rPr>
        <w:br w:type="page"/>
      </w:r>
    </w:p>
    <w:p w:rsidR="00C042ED" w:rsidRPr="00EB277E" w:rsidRDefault="00C042ED" w:rsidP="00EB277E">
      <w:pPr>
        <w:pStyle w:val="2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EB277E">
        <w:rPr>
          <w:rFonts w:ascii="Times New Roman" w:hAnsi="Times New Roman" w:cs="Times New Roman"/>
          <w:i w:val="0"/>
        </w:rPr>
        <w:t>1.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Черты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русской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философии</w:t>
      </w:r>
      <w:bookmarkEnd w:id="4"/>
      <w:bookmarkEnd w:id="5"/>
    </w:p>
    <w:p w:rsidR="00EB277E" w:rsidRDefault="00EB277E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Преобразования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Петра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придали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динамизм.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развиваться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промышленное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производство,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образование.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Кардинально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изменился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государственный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аппарат.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Церковь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эгидой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государства,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исчезла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монополия.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постепенно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приобретала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самостоятельность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исследования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освобождалась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богословия,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опираясь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деистические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(Бог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творит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вмешивается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развития),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теорию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"двух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истин",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Большой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вклад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решение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проблем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внесли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Ломоносов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Радищев.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Ломоносов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умозрительно,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экспериментально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доказал,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атомно-молекулярное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строение,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корпускулы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(молекулы)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находятся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беспрерывном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вращательном,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колебательном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поступательном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движении.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Радищев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дополнил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выводы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сравнением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лестницей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веществ,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вершиной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мыслящий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мозг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нервная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составляют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Общим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социально-философских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обоих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ярко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выраженный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просветительско-гуманный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Радищева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отличались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радикализмом.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считал,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решающее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природный,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политико-юридический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(деятельность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людей)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факторы.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резко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критиковал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крепостное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абсолютизм,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выход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видел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революции.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Самостоятельное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творчество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области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начинается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многих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авторов,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лишь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половине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века</w:t>
      </w:r>
      <w:r w:rsidRPr="00EB277E">
        <w:rPr>
          <w:rStyle w:val="a6"/>
          <w:sz w:val="28"/>
          <w:szCs w:val="28"/>
        </w:rPr>
        <w:footnoteReference w:id="3"/>
      </w:r>
      <w:r w:rsidRPr="00EB277E">
        <w:rPr>
          <w:sz w:val="28"/>
          <w:szCs w:val="28"/>
        </w:rPr>
        <w:t>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значит,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времени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вопросов.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конечно,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разрешение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зависимость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воззрений,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по-настоящему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порвала.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уточняем,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материалистическое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атеистическое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Добролюбов,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Писарев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др.).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Важно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отметить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обстоятельство: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вставала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ноги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тогда,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мощная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как-то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подавляло,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сбивало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ученичество.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помогало,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приобщая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позволяя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пользоваться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достижениями.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Богата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особенностями.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Прежде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следует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сказать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теснейшей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художественной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литературой.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цензурным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"притеснительным"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причинам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художественная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литература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распространенных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проблем.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хорошо: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союз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литературой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избавлял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абстрактности,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наукообразности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оторванности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эмоционально-чувственной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плохо: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эстетизм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(замена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словами;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красиво,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обязательно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жизненно);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публицистичность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(остроумие,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хлесткость,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глубина,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полнота,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систематичность);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увлеченность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символами,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софийными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смыслообразами,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поверхностными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ассоциативными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связями.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особенностям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относится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историософичность,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выдвижение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качестве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проблем,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метафизически-пророческой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размерности.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оставляла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оставляет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надежды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раскрыть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предложить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грандиозный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мироустроительный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проект</w:t>
      </w:r>
      <w:r w:rsidRPr="00EB277E">
        <w:rPr>
          <w:rStyle w:val="a6"/>
          <w:sz w:val="28"/>
          <w:szCs w:val="28"/>
        </w:rPr>
        <w:footnoteReference w:id="4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Важной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обращенность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судьбам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внутреннему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миру.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Авторитетно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плане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заявление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Бердяева: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"...вне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-антропологическая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</w:t>
      </w:r>
      <w:r w:rsidR="00EB277E">
        <w:rPr>
          <w:sz w:val="28"/>
          <w:szCs w:val="28"/>
        </w:rPr>
        <w:t xml:space="preserve"> - </w:t>
      </w:r>
      <w:r w:rsidRPr="00EB277E">
        <w:rPr>
          <w:sz w:val="28"/>
          <w:szCs w:val="28"/>
        </w:rPr>
        <w:t>антропологическая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названа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творческой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философией...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Вселенной"</w:t>
      </w:r>
      <w:r w:rsidRPr="00EB277E">
        <w:rPr>
          <w:rStyle w:val="a6"/>
          <w:sz w:val="28"/>
          <w:szCs w:val="28"/>
        </w:rPr>
        <w:footnoteReference w:id="5"/>
      </w:r>
      <w:r w:rsidRPr="00EB277E">
        <w:rPr>
          <w:sz w:val="28"/>
          <w:szCs w:val="28"/>
        </w:rPr>
        <w:t>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Впрочем,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требовал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соотносить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ориентировал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"потусторонние"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ценности.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следует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отнести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целостности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(цельности)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выражающуюся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неотделимости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нравственных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эмоциональной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"Живое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знание",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сердца",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союз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"правды-истины"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"правды-справедливости"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вернейшие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миропонимания.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"совершенно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чуждо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спинозовское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плакать,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смеяться,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понимать"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(C.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Франк).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гносеологическом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плане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цельности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предопределяла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доверие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интеллектуальной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интуиции,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нравственному,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эстетическому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опыту.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Отсутствие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иммунитета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опыту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объясняет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увлечение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христианской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любви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между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людьми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стремлении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подлинному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преображению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оформление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"соборности".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Начиная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работ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славянофила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А.С.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Хомякова,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обозначает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сочетание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(свободную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равенство)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любви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вообще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ценностям.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Наконец,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характеристика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космизм.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космизм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противопоставил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антропоцентризму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индивидуализму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предшествующей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увы,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разрушенного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противостояния.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Одна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возникло,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функционировало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сравнительно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“чистой”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Своеобразный,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“синкретический”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социально-экономический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базис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приводил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возникновению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синкретических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идейно-философских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синкретизма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наличествуют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Зрелое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оформилось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позднее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английского,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тогда,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функционировали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многочисленные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разновидности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коммунизма,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открыто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противостоявшие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защищавшим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идеологиям,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социалисты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коммунисты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систематически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критиковали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обстоятельство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проявиться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исключительно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своеобразное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переплетение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демократических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социалистических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возникнуть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ситуация,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древу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оформившегося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соответствовавшего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внутренним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условиям,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привиты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типологические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постпросветительские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черты</w:t>
      </w:r>
      <w:r w:rsidRPr="00EB277E">
        <w:rPr>
          <w:rStyle w:val="a6"/>
          <w:sz w:val="28"/>
          <w:szCs w:val="28"/>
        </w:rPr>
        <w:footnoteReference w:id="6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люмьеризм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оформился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диалектические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противостоявшие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преимущественно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механистической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методологии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предшествующей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обстоятельство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отразиться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специфическим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образом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судьбах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диалектические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оказались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гораздо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объеме,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нежели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западноевропейских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Одним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словом,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фиксируя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западноевропейского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необходимо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помнить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синкретизме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последнего: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рядом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демократическими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социалистические,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рядом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антифеодальными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антикапиталистические,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рядом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механистическими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диалектические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т.д.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pStyle w:val="2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6" w:name="_Toc182650353"/>
      <w:bookmarkStart w:id="7" w:name="_Toc182650380"/>
      <w:r w:rsidRPr="00EB277E">
        <w:rPr>
          <w:rFonts w:ascii="Times New Roman" w:hAnsi="Times New Roman" w:cs="Times New Roman"/>
          <w:i w:val="0"/>
        </w:rPr>
        <w:t>2.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Специфика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русского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просветительства</w:t>
      </w:r>
      <w:bookmarkEnd w:id="6"/>
      <w:bookmarkEnd w:id="7"/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условиях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борьбы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преимущественно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феодализмом,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крепостничеством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будучи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исключительным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представителем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какого-либо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сословия,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группы,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очередь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страдающей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феодализма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крепостничества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трудящейся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массы,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наиболее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угнетенного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крестьянского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сословия,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сравнительно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близких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дворянский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либерализм.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просветителей-шестидесятников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квалифицировать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“крестьянских,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мужицких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демократов”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Добролюбов),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угнетенного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населения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составляли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крестьяне.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отстаивали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образом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крестьянские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“крестьянофилами”.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“люмьеризм”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идеализированная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будучи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надклассовый,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общечеловеческий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предшественники,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отдавали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отчета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причинах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условиях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движения,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поэтому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утопический,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иллюзорный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мечтая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“царстве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всеобщего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счастья,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осознавали,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идут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целям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совершенно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строю,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господствует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буржуазия.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Апелляции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каким-то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поводам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государям,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призывы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“высшим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классам”,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крестьянству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проявление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“грехопадения”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“норма”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стремились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представлять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какой-либо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общечеловеческие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интересы.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западноевропейских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характеризовалось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гораздо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демократичностью,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круг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приверженцев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рекрутировался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среды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разночинцев,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выходцы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сословий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разделяли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разночинцев.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“аристократизма”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“элитарности”,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противопоставления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малообразованным,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малокультурным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слоям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наличествовали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скажем,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многих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элементы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“аристократизма”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“элитарности”,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бескультурным,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неграмотным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крестьянским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массам,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встречается</w:t>
      </w:r>
      <w:r w:rsidRPr="00EB277E">
        <w:rPr>
          <w:rStyle w:val="a6"/>
          <w:sz w:val="28"/>
          <w:szCs w:val="28"/>
        </w:rPr>
        <w:footnoteReference w:id="7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складывалось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параллельно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формированием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великорусской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перерастания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этноса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нацию.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вдохновители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впервые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осознавшего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качестве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органической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рода.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выступая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всестороннюю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европеизацию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признавая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примат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частью,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воспитывали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“истинного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патриотизма”,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идеи”,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носившей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антифеодальный,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антисредневековый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солидарности.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“Идея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Белинский,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должна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лежать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между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нациями.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подчинении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начинают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сознавать,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члены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семейства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начинают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братски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делиться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сокровищами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национальности.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Каждый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успех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быстро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усваивается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каждый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заимствует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чуждо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отдавая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обмен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составляет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исключительную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собственность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чуждо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Теперь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слабые,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ограниченные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могут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думать,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успехи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вредны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успехам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нужны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китайские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стены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охранения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национальности”</w:t>
      </w:r>
      <w:r w:rsidRPr="00EB277E">
        <w:rPr>
          <w:rStyle w:val="a6"/>
          <w:sz w:val="28"/>
          <w:szCs w:val="28"/>
        </w:rPr>
        <w:footnoteReference w:id="8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очередь,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Н.Г.</w:t>
      </w:r>
      <w:r w:rsidR="00CA2883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утверждал: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“...Общечеловеческий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выше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выгод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нации”</w:t>
      </w:r>
      <w:r w:rsidRPr="00EB277E">
        <w:rPr>
          <w:rStyle w:val="a6"/>
          <w:sz w:val="28"/>
          <w:szCs w:val="28"/>
        </w:rPr>
        <w:footnoteReference w:id="9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Попытки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отечественных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авторов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круга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Белинского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деятелей,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якобы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оторванных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почвы,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лишены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каких-либо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серьезных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фактических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оснований.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становления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великорусской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вместе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школа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антисредневекового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воспитатели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отличаются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народников,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вопрос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играл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роли.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Особенностью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антиметафизической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являвшиеся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продуктом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реставрации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общеевропейской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реакции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буржуазную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революцию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предшествующую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известном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воскресли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включая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полемика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представляла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повторение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борьбы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консервативной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падение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авторитета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гегелевской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вплоть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80-х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работать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“научного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проявления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“родовой”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черты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“антиметафизической”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ориентации</w:t>
      </w:r>
      <w:r w:rsidRPr="00EB277E">
        <w:rPr>
          <w:rStyle w:val="a6"/>
          <w:sz w:val="28"/>
          <w:szCs w:val="28"/>
        </w:rPr>
        <w:footnoteReference w:id="10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Внимание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Фейербаха,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материализму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середины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объясняется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конечном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счете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ориентированностью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восстановление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“научной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Фейербаха,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материализму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середины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повторялся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поворот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схоластики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научной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опирающейся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опытное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естествознание.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60-е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деятельности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Н.Г.</w:t>
      </w:r>
      <w:r w:rsidR="00BE0D06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лице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Новицкого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Юркевича.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Конечно,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Новицкий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Юркевич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Лейбниц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Шеллинг,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Гегель.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статьи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Новицкого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Юркевича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нежели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статьи,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специально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разбирает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немецкую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Разграничение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необходимейших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предпосылок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исследования,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точки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конкретное,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выдвигаются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качестве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“земного”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научного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“земного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исключаются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занимается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теология,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“трансцендентного”,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“общего”,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занималась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“трансцендентальная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априористическая”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Шеллинга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“Абсолют”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“краеугольный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камень”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насмешек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шестидесятников.</w:t>
      </w:r>
      <w:r w:rsidRPr="00CA2883">
        <w:rPr>
          <w:rStyle w:val="a6"/>
          <w:sz w:val="20"/>
          <w:szCs w:val="20"/>
        </w:rPr>
        <w:footnoteReference w:id="11"/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сторонников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общего”,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трансцендентальных,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идеалистических,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априористических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сторонник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“научного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философии”.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научной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“истинно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современная”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философия?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противовес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концепциям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принципиально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разводившим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методам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разработки,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максимально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сближал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науку.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“философия,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наукам,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основывается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наблюдении,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создается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умом”.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предшественники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ставили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достигнуть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абстрактно-философских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естественнонаучных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таковых.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вещах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интересовали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постольку,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использовать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Сциентистами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исходный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аксиологический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Pr="00BE0D06">
        <w:rPr>
          <w:rStyle w:val="a6"/>
          <w:sz w:val="20"/>
          <w:szCs w:val="20"/>
          <w:vertAlign w:val="superscript"/>
        </w:rPr>
        <w:footnoteReference w:id="12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Если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сторонником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“научной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приверженцем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представителями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Левкипп,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Демокрит,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Лукреций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т.д.,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возможным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разрешение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научным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проблем,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называвшихся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выступает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позволительно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задаться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вопросом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насколько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правомерно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антропоцентрической,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насколько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правомерно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универсальным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характеризующим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Соответственно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ставится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вопрос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правомерности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отнесения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дневника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узнаем,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бывали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времена,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Фейербаху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гегельянского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симпатизировал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типичной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разновидности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общего”,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субстанционалистской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Гегеля,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слияние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субстанцией,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вышло”.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где-то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1853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выкристаллизовываться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напрочь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отказался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размышлений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“я”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слитое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“субстанцией”.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“бытие”,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“субстанция”,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“объект”,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“субъект”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метафизических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традиционных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говорит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теперь</w:t>
      </w:r>
      <w:r w:rsidRPr="00BE0D06">
        <w:rPr>
          <w:rStyle w:val="a6"/>
          <w:sz w:val="20"/>
          <w:szCs w:val="20"/>
          <w:vertAlign w:val="superscript"/>
        </w:rPr>
        <w:footnoteReference w:id="13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Природа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видят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теперь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исходный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пункт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размышлений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опять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навсегда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производными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ценностных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установок.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Фейербаха,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включается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лишь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постольку,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базисом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“Как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возвышенно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зрелище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небесных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тел,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восхитительны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величественные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очаровательные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картины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констатирует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Потому,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высок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интерес,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возбуждаемый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астрономиею,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привлекательны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важнейшею,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коренною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останется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навсегда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пуститься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дешевую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мест,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хороши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бесспорны,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напомним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надписи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дельфийского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храма: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“Познай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себя”.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Позднее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высказана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греческим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(имеется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Протагор)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постигли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последнее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Канта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последние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десятилетия: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мерило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всего”</w:t>
      </w:r>
      <w:r w:rsidRPr="00CA2883">
        <w:rPr>
          <w:rStyle w:val="a6"/>
          <w:sz w:val="20"/>
          <w:szCs w:val="20"/>
          <w:vertAlign w:val="superscript"/>
        </w:rPr>
        <w:footnoteReference w:id="14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Конечно,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ближайшим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должен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цивилизациею,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нравственные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учреждения,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потребности”.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капитальной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фрагмента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вытекают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следствия.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таковая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Фейербаха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рассматривает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(включая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базис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единственный,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универсальный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высший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превращая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универсальную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науку.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сказать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выступает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ибо</w:t>
      </w:r>
      <w:r w:rsidR="00EB277E">
        <w:rPr>
          <w:sz w:val="28"/>
          <w:szCs w:val="28"/>
        </w:rPr>
        <w:t xml:space="preserve"> </w:t>
      </w:r>
      <w:r w:rsidR="00BE0D06" w:rsidRPr="00EB277E">
        <w:rPr>
          <w:sz w:val="28"/>
          <w:szCs w:val="28"/>
        </w:rPr>
        <w:t>является,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прежде</w:t>
      </w:r>
      <w:r w:rsidR="00EB277E">
        <w:rPr>
          <w:sz w:val="28"/>
          <w:szCs w:val="28"/>
        </w:rPr>
        <w:t xml:space="preserve"> </w:t>
      </w:r>
      <w:r w:rsidR="00BE0D06" w:rsidRPr="00EB277E">
        <w:rPr>
          <w:sz w:val="28"/>
          <w:szCs w:val="28"/>
        </w:rPr>
        <w:t>всего,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Центральное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положение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предмета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“антропологический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философии”,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являющемся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универсальным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пронизывающим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составные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случае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выступает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натуралистический.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антропологический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гораздо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всеобъемлющий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гораздо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шире,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нежели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монистическая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психофизической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Это,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философов-просветителей,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аспектах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органической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одновременно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качествами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(физическими,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физиологическими,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психологическими,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умственными,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нравственными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т.д.),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потребностями,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политического,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экономического,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правового,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культурного,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национального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порядка.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Нетрудно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заметить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типологическое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сходство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Н.Г.Чернышевского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антропоцентризма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pStyle w:val="2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8" w:name="_Toc182650354"/>
      <w:bookmarkStart w:id="9" w:name="_Toc182650381"/>
      <w:r w:rsidRPr="00EB277E">
        <w:rPr>
          <w:rFonts w:ascii="Times New Roman" w:hAnsi="Times New Roman" w:cs="Times New Roman"/>
          <w:i w:val="0"/>
        </w:rPr>
        <w:t>3.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Образ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человека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в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философии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русского</w:t>
      </w:r>
      <w:r w:rsidR="00EB277E">
        <w:rPr>
          <w:rFonts w:ascii="Times New Roman" w:hAnsi="Times New Roman" w:cs="Times New Roman"/>
          <w:i w:val="0"/>
        </w:rPr>
        <w:t xml:space="preserve"> </w:t>
      </w:r>
      <w:r w:rsidRPr="00EB277E">
        <w:rPr>
          <w:rFonts w:ascii="Times New Roman" w:hAnsi="Times New Roman" w:cs="Times New Roman"/>
          <w:i w:val="0"/>
        </w:rPr>
        <w:t>Просвещения</w:t>
      </w:r>
      <w:bookmarkEnd w:id="8"/>
      <w:bookmarkEnd w:id="9"/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Эпоха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изменения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активного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заимствования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свойственных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принятии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византийского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наследства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творчески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использовала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заимствованные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обогащая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оригинальным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содержанием.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произошло,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развивавшегося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Pr="00EB277E">
        <w:rPr>
          <w:rStyle w:val="a6"/>
          <w:sz w:val="28"/>
          <w:szCs w:val="28"/>
        </w:rPr>
        <w:footnoteReference w:id="15"/>
      </w:r>
      <w:r w:rsidRPr="00EB277E">
        <w:rPr>
          <w:sz w:val="28"/>
          <w:szCs w:val="28"/>
          <w:lang w:val="uk-UA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версия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идеологии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акценты,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французская.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здесь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оставался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осознанию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достоинства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предполагало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простоте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непротиворечивости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сопровождалось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отрицанием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Секуляризация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петровскую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появления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самостоятельной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догматики.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Однако,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выйдя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жесткой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опеки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церкви,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дошла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разрыва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религией.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раскрепощение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привело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самостоятельному,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элемента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духовности.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выявление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подлинного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православного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христианства.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интерпретации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догматов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приводила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фактическому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упразднению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традиционной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все-таки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нельзя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отрицать,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практически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наиболее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оригинальные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искренне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верующими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людьми.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Два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приоритет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простоте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законов,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определяющих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прямолинейно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проводились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отвергались.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Пожалуй,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возможности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достижения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устраняющего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недостатки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сегодняшнего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земного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лице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представителей)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общественная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Впрочем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здесь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политический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обычно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вариацией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преломлением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утопизма,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соответствии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несовершенное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земное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состояние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рассматривалось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грядущего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вхождения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царство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небесное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подготовительная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грядущим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преобразованием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действительности.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истоках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самостоятельной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идеологии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ясное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выражение.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Григория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явилось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отыскание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подлинного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православия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осмысление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своеобразная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гносеология,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предполагающая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дуальность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предстающего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срезе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лишь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скользит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явлениям,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проникая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называет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познание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Боге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связанном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верой,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схватываем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мире</w:t>
      </w:r>
      <w:r w:rsidRPr="00CA2883">
        <w:rPr>
          <w:rStyle w:val="a6"/>
          <w:sz w:val="20"/>
          <w:szCs w:val="20"/>
        </w:rPr>
        <w:footnoteReference w:id="16"/>
      </w:r>
      <w:r w:rsidRPr="00CA2883">
        <w:rPr>
          <w:sz w:val="20"/>
          <w:szCs w:val="20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Причем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здесь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доступно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через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через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открытие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характеристики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использует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сердца.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Понятие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сердца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дальнейшем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будет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играть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задает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будущей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Сердце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средоточие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объединяющее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способности;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сводится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рациональности,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целостность,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противостоящая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частичности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раздробленности.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сердце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каждый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обнаружить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глубокое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окружающей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людьми;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охватывающего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близким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мистицизма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Экхарт,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Бёме,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Дж.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Бруно),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расходится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ней.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касается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оценки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индивидуальности.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полагает,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проходящее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через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проявления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сохраняющееся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совпадения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дальнейшем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противоречивое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сочетание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двух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тенденций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тенденции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людьми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космосом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тенденции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каждой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определяющих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Будучи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тесно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связанным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церковью,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Сковорода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сохранить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самостоятельность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творческой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избегая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накладывал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официальный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статус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преподавателя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объясняется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странный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образ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скитальчество,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скрытность,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отсутствие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стремления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публикации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трудов.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Однако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развивающийся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процесс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секуляризации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привел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начале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освобождается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церкви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внутри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формируется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влиятельное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близкое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материализму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исповедывающее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политический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радикализм.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Родоначальником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Радищев.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Начало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отмечает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переход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господствующего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французского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прошедшей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возрастающим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европейского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романтизма.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выразительны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контексте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Философские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своеобразный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синтез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почерпнутыми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западноевропейских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восточных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мистиков.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числу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отнести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убеждение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перерастает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утверждение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зависимости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степени,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предшественники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отказывается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центром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</w:t>
      </w:r>
      <w:r w:rsidRPr="00CA2883">
        <w:rPr>
          <w:rStyle w:val="a6"/>
          <w:sz w:val="20"/>
          <w:szCs w:val="20"/>
        </w:rPr>
        <w:footnoteReference w:id="17"/>
      </w:r>
      <w:r w:rsidRPr="00CA2883">
        <w:rPr>
          <w:sz w:val="20"/>
          <w:szCs w:val="20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непосредственным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натурфилософии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Шеллинга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приходит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негативной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оценке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результата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деградации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результата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разложения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центральное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звено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мироздания.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центр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помещает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инстинктов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инстинктуальную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силу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выражению,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понимаемую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широком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непосредственного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проникновения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видеть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предвосхищение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понятия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интуитивного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Бергсона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получит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детальную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разработку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интуитивизме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(Н.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Лосский,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Франк).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Анализируя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соотношение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различных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души,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делает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вывод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необходимости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естественного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сочетания,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считает,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по-настоящему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плодотворное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должно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подразумевать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объединение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эмпирического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рационального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подхода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природе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эстетическим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дальнейшем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впервые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ясно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сформулированная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славянофилов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вообще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ключевых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указанным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требованием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целостности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производит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критическое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рассмотрение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приходит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выводу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препятствует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правильному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формированию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Одоевский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родоначальником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еще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влиятельной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противопоставления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утратившей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глубокие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(религиозные)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ориентиры,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ориентиры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сохранены.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противопоставление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столь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однозначных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оценок)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проводит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Традиционное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отнесение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западникам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основано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нескольких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эмоциональных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суждениях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Философического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письма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глубокие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историософские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изложенные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пятом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шестом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письмах,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свидетельствуют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скорее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привычном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критическом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цивилизации,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начиная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Возрождения.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никто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противопоставляет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прогресс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недостаток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(впрочем,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недостаток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великих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культур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Востока)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подчинении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первому</w:t>
      </w:r>
      <w:r w:rsidRPr="00EB277E">
        <w:rPr>
          <w:rStyle w:val="a6"/>
          <w:sz w:val="28"/>
          <w:szCs w:val="28"/>
        </w:rPr>
        <w:footnoteReference w:id="18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противостояние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жизнь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обнимает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ведом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(материальный).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задачей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становится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возвышение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укоренена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откуда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происходят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откуда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черпает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силу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решительно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утверждает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корни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делания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доступного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человеку.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Нет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способно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заменить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божественное.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христианина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движение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иное,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отражение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непрерывного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укорененность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означает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людьми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божественном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становится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возникает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сверхиндивидуальном,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вселенском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охватывающем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наделяющем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крупицами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правды,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оказавшаяся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дальнейшем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плодотворной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(особенно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подробно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разрабатывалась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С.</w:t>
      </w:r>
      <w:r w:rsidR="00CA2883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Трубецким).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Причастность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подчиненность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высшему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порядку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означает,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господствует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пространством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временем,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взаимосвязи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ограниченным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препятствует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осознанию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безграничности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принадлежности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всемирному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существу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?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высказывает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идею,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слишком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направления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сближает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религиозно-философскими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Востока.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Причину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несовершенного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эмпирического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произвольная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поступать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наперекор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могущественным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источником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несовершенства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полагает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центром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мироздания,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каждое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душевное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движение</w:t>
      </w:r>
      <w:r w:rsidRPr="00EB277E">
        <w:rPr>
          <w:sz w:val="28"/>
          <w:szCs w:val="28"/>
        </w:rPr>
        <w:sym w:font="Times New Roman" w:char="00BB"/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потрясает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мироздание</w:t>
      </w:r>
      <w:r w:rsidRPr="00EB277E">
        <w:rPr>
          <w:sz w:val="28"/>
          <w:szCs w:val="28"/>
        </w:rPr>
        <w:sym w:font="Times New Roman" w:char="00BB"/>
      </w:r>
      <w:r w:rsidRPr="00EB277E">
        <w:rPr>
          <w:sz w:val="28"/>
          <w:szCs w:val="28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отличие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полагает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могущественное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влияние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негативным,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злым,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разрушительным.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ведет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парадоксальному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выводу: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sym w:font="Times New Roman" w:char="00AB"/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назначение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состоит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разрушении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замене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совершенно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социальным,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безличным</w:t>
      </w:r>
      <w:r w:rsidRPr="00EB277E">
        <w:rPr>
          <w:sz w:val="28"/>
          <w:szCs w:val="28"/>
        </w:rPr>
        <w:sym w:font="Times New Roman" w:char="00BB"/>
      </w:r>
      <w:r w:rsidRPr="00CA2883">
        <w:rPr>
          <w:rStyle w:val="a6"/>
          <w:sz w:val="20"/>
          <w:szCs w:val="20"/>
          <w:vertAlign w:val="superscript"/>
        </w:rPr>
        <w:footnoteReference w:id="19"/>
      </w:r>
      <w:r w:rsidRPr="00CA2883">
        <w:rPr>
          <w:sz w:val="20"/>
          <w:szCs w:val="20"/>
          <w:vertAlign w:val="superscript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согласии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традициями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останавливается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самыми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крайними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выводами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основополагающих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концепции;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пронизанным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противоречиями,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впрочем,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видеть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отражение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объективных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сущности.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из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порождается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утверждением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радикальной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смертности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материальном,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аспекте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бытия!),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необходимо,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признания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абсолютного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превосходства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(бессмертный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равным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Богу).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утверждение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убеждению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вечности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всеобщего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приобщение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определяет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духовную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Индивидуальная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свобода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смертность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оказываются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тесно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связанными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фундаментальными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характеристиками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фундаментальность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невозможно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согласовать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всеобщностью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благостью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божественного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бытия,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только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существовать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противоречие,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ясно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сформулированное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Чаадаевым,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останется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важнейшей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темой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именно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многие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будут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находить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источник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трагедий,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наполняющих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человека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человеческую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историю.</w:t>
      </w:r>
    </w:p>
    <w:p w:rsidR="00C042ED" w:rsidRPr="007A6BC5" w:rsidRDefault="00CA2883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A6BC5">
        <w:rPr>
          <w:color w:val="FFFFFF"/>
          <w:sz w:val="28"/>
          <w:szCs w:val="28"/>
        </w:rPr>
        <w:t>русский просвешение мировоззрение космизм</w:t>
      </w:r>
    </w:p>
    <w:p w:rsidR="00C042ED" w:rsidRPr="00EB277E" w:rsidRDefault="00C042ED" w:rsidP="00EB277E">
      <w:pPr>
        <w:pStyle w:val="1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77E"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182650382"/>
      <w:r w:rsidR="00CA2883" w:rsidRPr="00EB277E">
        <w:rPr>
          <w:rFonts w:ascii="Times New Roman" w:hAnsi="Times New Roman" w:cs="Times New Roman"/>
          <w:sz w:val="28"/>
          <w:szCs w:val="28"/>
        </w:rPr>
        <w:t>Заключение</w:t>
      </w:r>
      <w:bookmarkEnd w:id="10"/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277E">
        <w:rPr>
          <w:sz w:val="28"/>
          <w:szCs w:val="28"/>
        </w:rPr>
        <w:t>Родоначальником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выступил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В.Г.Белинский</w:t>
      </w:r>
      <w:r w:rsidRPr="00EB277E">
        <w:rPr>
          <w:sz w:val="28"/>
          <w:szCs w:val="28"/>
          <w:lang w:val="uk-UA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ставший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позиции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достаточно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последний,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третий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жизни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деятельности,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40-е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лишь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отдельные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части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носили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целом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облекалось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непросветительские,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романтические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становящегося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рубеже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30-40-х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развивались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М.А.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Бакунин,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А.И.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Герцен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Н.П.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Огарев,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идейно-философская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эволюция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проходила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специфике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формах,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аналогичных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Белинского.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Расцвет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падает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60-е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(Н.Г.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Н.А.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Добролюбов,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Д.И.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Писарев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единомышленники).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шестидесятников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наиболее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зрелые,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классические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наиболее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чистом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виде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40-60-х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выражено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воззрениях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Добролюбова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Писарева;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преимущественно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“чисто”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является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наличествует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солидный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постпросветительский,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“преднароднический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элемент”.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Зародыш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</w:t>
      </w:r>
      <w:r w:rsidRPr="00EB277E">
        <w:rPr>
          <w:sz w:val="28"/>
          <w:szCs w:val="28"/>
          <w:lang w:val="uk-UA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прежде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всего</w:t>
      </w:r>
      <w:r w:rsidRPr="00EB277E">
        <w:rPr>
          <w:sz w:val="28"/>
          <w:szCs w:val="28"/>
          <w:lang w:val="uk-UA"/>
        </w:rPr>
        <w:t>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общине;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постпросветительский,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преднароднический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элемент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гораздо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более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значительном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объеме,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нежели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Чернышевского,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наличествует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Герцена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(после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1848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“духовного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кризиса”)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“русском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социализме”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Бакунин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олицетворяет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разновидность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содержание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выявившееся,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других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рубеже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30–40-х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перерастать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постпросветительскую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форму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утопического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социализма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анархистского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мере,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Бакунин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отражал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западноевропейскую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действительность,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народничество,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поскольку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оставался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мыслителем</w:t>
      </w:r>
      <w:r w:rsidRPr="00EB277E">
        <w:rPr>
          <w:rStyle w:val="a6"/>
          <w:sz w:val="28"/>
          <w:szCs w:val="28"/>
        </w:rPr>
        <w:footnoteReference w:id="20"/>
      </w:r>
      <w:r w:rsidRPr="00EB277E">
        <w:rPr>
          <w:sz w:val="28"/>
          <w:szCs w:val="28"/>
        </w:rPr>
        <w:t>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40–60-х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пережившие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перешли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пореформенный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период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позиции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народничества,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подобно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Бакунину,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Лаврову,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Ткачеву,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70-х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годах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главными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идеологами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революционного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народничества.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Герцен,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Огарев,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Шелгунов,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Антонович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народниками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смысле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слова,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сохранив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большей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меньшей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степени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свои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преимущественные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связи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типом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мировоззрения,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хотя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они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сделали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вперед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народничеству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значительные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шаги,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можно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квалифицировать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постпросветительство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преднародничество.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всякое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люмьеризм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представляет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монолитной,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однородной,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общепризнанной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теоретической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системы.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же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время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это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простая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механическая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сумма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мировоззрений,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Просветительство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включает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себя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общие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всех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просветителей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принципы,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взгляды,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присущие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таким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ярким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индивидуальностям,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В.Г.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Белинский,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А.И.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Герцен,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Н.Г.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Чернышевский,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Н.А.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Добролюбов,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Д.И.</w:t>
      </w:r>
      <w:r w:rsidR="00E01AB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Писарев,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соратникам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единомышленникам.</w:t>
      </w:r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E01ABE" w:rsidRDefault="00E01AB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042ED" w:rsidRPr="00EB277E" w:rsidRDefault="00CA2883" w:rsidP="00EB277E">
      <w:pPr>
        <w:pStyle w:val="1"/>
        <w:keepNext w:val="0"/>
        <w:widowControl w:val="0"/>
        <w:tabs>
          <w:tab w:val="left" w:pos="110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82650383"/>
      <w:r w:rsidRPr="00EB277E">
        <w:rPr>
          <w:rFonts w:ascii="Times New Roman" w:hAnsi="Times New Roman" w:cs="Times New Roman"/>
          <w:sz w:val="28"/>
          <w:szCs w:val="28"/>
        </w:rPr>
        <w:t>Список</w:t>
      </w:r>
      <w:r w:rsidR="00EB277E">
        <w:rPr>
          <w:rFonts w:ascii="Times New Roman" w:hAnsi="Times New Roman" w:cs="Times New Roman"/>
          <w:sz w:val="28"/>
          <w:szCs w:val="28"/>
        </w:rPr>
        <w:t xml:space="preserve"> </w:t>
      </w:r>
      <w:r w:rsidRPr="00EB277E">
        <w:rPr>
          <w:rFonts w:ascii="Times New Roman" w:hAnsi="Times New Roman" w:cs="Times New Roman"/>
          <w:sz w:val="28"/>
          <w:szCs w:val="28"/>
        </w:rPr>
        <w:t>использованной</w:t>
      </w:r>
      <w:r w:rsidR="00EB277E">
        <w:rPr>
          <w:rFonts w:ascii="Times New Roman" w:hAnsi="Times New Roman" w:cs="Times New Roman"/>
          <w:sz w:val="28"/>
          <w:szCs w:val="28"/>
        </w:rPr>
        <w:t xml:space="preserve"> </w:t>
      </w:r>
      <w:r w:rsidRPr="00EB277E">
        <w:rPr>
          <w:rFonts w:ascii="Times New Roman" w:hAnsi="Times New Roman" w:cs="Times New Roman"/>
          <w:sz w:val="28"/>
          <w:szCs w:val="28"/>
        </w:rPr>
        <w:t>литературы</w:t>
      </w:r>
      <w:bookmarkEnd w:id="2"/>
      <w:bookmarkEnd w:id="3"/>
      <w:bookmarkEnd w:id="11"/>
    </w:p>
    <w:p w:rsidR="00C042ED" w:rsidRPr="00EB277E" w:rsidRDefault="00C042ED" w:rsidP="00EB277E">
      <w:pPr>
        <w:widowControl w:val="0"/>
        <w:tabs>
          <w:tab w:val="left" w:pos="1106"/>
        </w:tabs>
        <w:spacing w:line="360" w:lineRule="auto"/>
        <w:ind w:firstLine="709"/>
        <w:jc w:val="both"/>
        <w:rPr>
          <w:sz w:val="28"/>
          <w:szCs w:val="28"/>
        </w:rPr>
      </w:pP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Антология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Pr="00EB277E">
        <w:rPr>
          <w:sz w:val="28"/>
          <w:szCs w:val="28"/>
          <w:lang w:val="uk-UA"/>
        </w:rPr>
        <w:t>.</w:t>
      </w:r>
      <w:r w:rsidRPr="00EB277E">
        <w:rPr>
          <w:sz w:val="28"/>
          <w:szCs w:val="28"/>
        </w:rPr>
        <w:t>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3-х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Учеб.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пособие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студентов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вузов.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СПб.: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Сенсор,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2000.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Белинский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В.Г.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собрание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сочинений.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13.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1953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1959.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Бессонов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Б.Н.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единство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многообразии.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Социал.-гуманит.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знания.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2003.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№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Галактионов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А.А.,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Никандров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П.Ф.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–XIX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1981.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Гриненко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Учебник.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Юрайт-Издат,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2004.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688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Громов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М.Н.,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Мильков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Идейные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течения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древнерусской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СПб.: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РХГИ,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Ермичев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СПб.,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1998.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Зеньковский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ч.1.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Под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ред.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Емельянова,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К.Н.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Любутина,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Русакова,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Ю.К.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Саранчина.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Учебник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студентов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вузов.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Екатеринбург: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Деловая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книга;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Академический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Проект.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2005,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736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Учеб.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вузов.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Редкол.: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Маслин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др.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Республика,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Киреевский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Разум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пути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истине.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2002,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Киссель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как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историко-философская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Некоторые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характеристики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эпохи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-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ИФАН.,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1999.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Кувакин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Мыслители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/Избранные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лекции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2004.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Лосский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Н.О.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2000.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Пустарнаков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В.Ф.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Франции: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опыт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сравнительного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анализа.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2001.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второй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половины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XVIII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Хрестоматия.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Свердловск,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1990.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Сенчихина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Ю.Б.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Учебно-методич.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пособие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для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студ.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ун-тов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гуманит.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ф-тов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ВУЗов.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2005.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Сухов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А.Д.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Русская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особенности,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традиции,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исторические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судьбы.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1995.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Треушникова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С.В.,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Треушников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И.А.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Замечания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специфике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философии.//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4-я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Нижегор.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сессия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молодых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ученых: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Гуманит.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науки.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Новгород,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2000.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Хомяков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А.С.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поводу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статьи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Киреевского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"О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характере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Европы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его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отношении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просвещению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России"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кн.: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Благова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Т.И.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Родоначальники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славянофильства.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А.С.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Хомяков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И.В.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Киреевский.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М.,1995.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Чернышевский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Н.Г.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Полное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собрание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сочинение.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Т.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16.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  <w:lang w:val="uk-UA"/>
        </w:rPr>
        <w:t>–</w:t>
      </w:r>
      <w:r w:rsidR="00EB277E">
        <w:rPr>
          <w:sz w:val="28"/>
          <w:szCs w:val="28"/>
          <w:lang w:val="uk-UA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1939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1953.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Шкуринов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П.С.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России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ХVIII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века.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1992.</w:t>
      </w:r>
    </w:p>
    <w:p w:rsidR="00C042ED" w:rsidRPr="00EB277E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Шпет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Г.Г.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Очерк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развития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русской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философии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//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Соч.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1989.</w:t>
      </w:r>
    </w:p>
    <w:p w:rsidR="00C042ED" w:rsidRDefault="00C042ED" w:rsidP="00E01ABE">
      <w:pPr>
        <w:widowControl w:val="0"/>
        <w:numPr>
          <w:ilvl w:val="0"/>
          <w:numId w:val="1"/>
        </w:numPr>
        <w:tabs>
          <w:tab w:val="clear" w:pos="720"/>
          <w:tab w:val="num" w:pos="350"/>
          <w:tab w:val="left" w:pos="11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277E">
        <w:rPr>
          <w:sz w:val="28"/>
          <w:szCs w:val="28"/>
        </w:rPr>
        <w:t>Щипанов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И.Я.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Философия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русского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Просвещения.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–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М.,</w:t>
      </w:r>
      <w:r w:rsidR="00EB277E">
        <w:rPr>
          <w:sz w:val="28"/>
          <w:szCs w:val="28"/>
        </w:rPr>
        <w:t xml:space="preserve"> </w:t>
      </w:r>
      <w:r w:rsidRPr="00EB277E">
        <w:rPr>
          <w:sz w:val="28"/>
          <w:szCs w:val="28"/>
        </w:rPr>
        <w:t>1971.</w:t>
      </w:r>
    </w:p>
    <w:p w:rsidR="00E01ABE" w:rsidRPr="007A6BC5" w:rsidRDefault="00E01ABE" w:rsidP="00E01ABE">
      <w:pPr>
        <w:widowControl w:val="0"/>
        <w:tabs>
          <w:tab w:val="left" w:pos="1106"/>
        </w:tabs>
        <w:spacing w:line="360" w:lineRule="auto"/>
        <w:jc w:val="both"/>
        <w:rPr>
          <w:color w:val="FFFFFF"/>
          <w:sz w:val="28"/>
          <w:szCs w:val="28"/>
        </w:rPr>
      </w:pPr>
      <w:bookmarkStart w:id="12" w:name="_GoBack"/>
      <w:bookmarkEnd w:id="12"/>
    </w:p>
    <w:sectPr w:rsidR="00E01ABE" w:rsidRPr="007A6BC5" w:rsidSect="00EB277E">
      <w:headerReference w:type="even" r:id="rId8"/>
      <w:headerReference w:type="default" r:id="rId9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F3F" w:rsidRDefault="002D1F3F" w:rsidP="00C042ED">
      <w:r>
        <w:separator/>
      </w:r>
    </w:p>
  </w:endnote>
  <w:endnote w:type="continuationSeparator" w:id="0">
    <w:p w:rsidR="002D1F3F" w:rsidRDefault="002D1F3F" w:rsidP="00C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F3F" w:rsidRDefault="002D1F3F" w:rsidP="00C042ED">
      <w:r>
        <w:separator/>
      </w:r>
    </w:p>
  </w:footnote>
  <w:footnote w:type="continuationSeparator" w:id="0">
    <w:p w:rsidR="002D1F3F" w:rsidRDefault="002D1F3F" w:rsidP="00C042ED">
      <w:r>
        <w:continuationSeparator/>
      </w:r>
    </w:p>
  </w:footnote>
  <w:footnote w:id="1">
    <w:p w:rsidR="002D1F3F" w:rsidRDefault="00EB277E" w:rsidP="00BE0D06">
      <w:pPr>
        <w:jc w:val="both"/>
      </w:pPr>
      <w:r w:rsidRPr="00217DC0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Сухов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А.Д.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Русская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философия: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особенности,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традиции,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исторические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судьбы.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1995.</w:t>
      </w:r>
      <w:r w:rsidR="00BE0D06">
        <w:rPr>
          <w:sz w:val="20"/>
          <w:szCs w:val="20"/>
        </w:rPr>
        <w:t xml:space="preserve"> </w:t>
      </w:r>
    </w:p>
  </w:footnote>
  <w:footnote w:id="2">
    <w:p w:rsidR="002D1F3F" w:rsidRDefault="00EB277E" w:rsidP="00BE0D06">
      <w:pPr>
        <w:jc w:val="both"/>
      </w:pPr>
      <w:r w:rsidRPr="00217DC0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Лосский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Н.О.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История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философии.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217DC0">
        <w:rPr>
          <w:sz w:val="20"/>
          <w:szCs w:val="20"/>
        </w:rPr>
        <w:t>2000.</w:t>
      </w:r>
      <w:r w:rsidR="00BE0D06">
        <w:rPr>
          <w:sz w:val="20"/>
          <w:szCs w:val="20"/>
        </w:rPr>
        <w:t xml:space="preserve"> </w:t>
      </w:r>
    </w:p>
  </w:footnote>
  <w:footnote w:id="3">
    <w:p w:rsidR="002D1F3F" w:rsidRDefault="00EB277E" w:rsidP="00BE0D06">
      <w:pPr>
        <w:widowControl w:val="0"/>
        <w:jc w:val="both"/>
      </w:pPr>
      <w:r w:rsidRPr="00F6323B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Русская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философия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второй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половины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XVIII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Хрестоматия.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Свердловск,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1990.</w:t>
      </w:r>
    </w:p>
  </w:footnote>
  <w:footnote w:id="4">
    <w:p w:rsidR="002D1F3F" w:rsidRDefault="00EB277E" w:rsidP="00BE0D06">
      <w:pPr>
        <w:jc w:val="both"/>
      </w:pPr>
      <w:r w:rsidRPr="00F6323B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Антология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философии: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3-х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т./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Учеб.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пособие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для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студентов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вузов.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СПб.: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Сенсор,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2000.</w:t>
      </w:r>
    </w:p>
  </w:footnote>
  <w:footnote w:id="5">
    <w:p w:rsidR="002D1F3F" w:rsidRDefault="00EB277E" w:rsidP="00BE0D06">
      <w:pPr>
        <w:jc w:val="both"/>
      </w:pPr>
      <w:r w:rsidRPr="00F6323B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Кувакин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В.А.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Мыслители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России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/Избранные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лекции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истории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философии.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2004.</w:t>
      </w:r>
    </w:p>
  </w:footnote>
  <w:footnote w:id="6">
    <w:p w:rsidR="002D1F3F" w:rsidRDefault="00EB277E" w:rsidP="00BE0D06">
      <w:pPr>
        <w:jc w:val="both"/>
      </w:pPr>
      <w:r w:rsidRPr="00F6323B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Хомяков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А.С.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поводу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статьи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И.В.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Киреевского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"О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характере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просвещения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Европы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его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отношении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к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просвещению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России"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//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В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кн.: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Благова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Т.И.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Родоначальники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славянофильства.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А.С.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Хомяков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и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И.В.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Киреевский.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6323B">
        <w:rPr>
          <w:sz w:val="20"/>
          <w:szCs w:val="20"/>
        </w:rPr>
        <w:t>М.,1995.</w:t>
      </w:r>
    </w:p>
  </w:footnote>
  <w:footnote w:id="7">
    <w:p w:rsidR="002D1F3F" w:rsidRDefault="00EB277E" w:rsidP="00BE0D06">
      <w:pPr>
        <w:jc w:val="both"/>
      </w:pPr>
      <w:r w:rsidRPr="00F57486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История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философии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//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Под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ред.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Б.В.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Емельянова,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К.Н.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Любутина,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В.М.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Русакова,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Ю.К.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Саранчина.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Учебник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для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студентов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вузов.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М.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Екатеринбург: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Деловая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книга;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Академический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Проект.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2005,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736</w:t>
      </w:r>
      <w:r w:rsidR="00BE0D06">
        <w:rPr>
          <w:sz w:val="20"/>
          <w:szCs w:val="20"/>
        </w:rPr>
        <w:t xml:space="preserve"> </w:t>
      </w:r>
      <w:r w:rsidRPr="00F57486">
        <w:rPr>
          <w:sz w:val="20"/>
          <w:szCs w:val="20"/>
        </w:rPr>
        <w:t>с.</w:t>
      </w:r>
    </w:p>
  </w:footnote>
  <w:footnote w:id="8">
    <w:p w:rsidR="002D1F3F" w:rsidRDefault="00EB277E" w:rsidP="00BE0D06">
      <w:pPr>
        <w:jc w:val="both"/>
      </w:pPr>
      <w:r w:rsidRPr="008532FD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Белинский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В.Г.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Полное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собрание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сочинений.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Т.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13.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М.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Л.,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1953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1959.</w:t>
      </w:r>
      <w:r w:rsidR="00BE0D06">
        <w:rPr>
          <w:sz w:val="20"/>
          <w:szCs w:val="20"/>
        </w:rPr>
        <w:t xml:space="preserve"> </w:t>
      </w:r>
    </w:p>
  </w:footnote>
  <w:footnote w:id="9">
    <w:p w:rsidR="002D1F3F" w:rsidRDefault="00EB277E" w:rsidP="00BE0D06">
      <w:pPr>
        <w:jc w:val="both"/>
      </w:pPr>
      <w:r w:rsidRPr="008532FD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Чернышевский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Н.Г.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Полное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собрание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сочинение.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Т.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16.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  <w:lang w:val="uk-UA"/>
        </w:rPr>
        <w:t>–</w:t>
      </w:r>
      <w:r w:rsidR="00BE0D06">
        <w:rPr>
          <w:sz w:val="20"/>
          <w:szCs w:val="20"/>
          <w:lang w:val="uk-UA"/>
        </w:rPr>
        <w:t xml:space="preserve"> </w:t>
      </w:r>
      <w:r w:rsidRPr="008532FD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1939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8532FD">
        <w:rPr>
          <w:sz w:val="20"/>
          <w:szCs w:val="20"/>
        </w:rPr>
        <w:t>1953.</w:t>
      </w:r>
      <w:r w:rsidR="00BE0D06">
        <w:rPr>
          <w:sz w:val="20"/>
          <w:szCs w:val="20"/>
        </w:rPr>
        <w:t xml:space="preserve"> </w:t>
      </w:r>
    </w:p>
  </w:footnote>
  <w:footnote w:id="10">
    <w:p w:rsidR="002D1F3F" w:rsidRDefault="00EB277E" w:rsidP="00BE0D06">
      <w:pPr>
        <w:jc w:val="both"/>
      </w:pPr>
      <w:r w:rsidRPr="009813B8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Щипанов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И.Я.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Философия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русского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Просвещения.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1971.</w:t>
      </w:r>
    </w:p>
  </w:footnote>
  <w:footnote w:id="11">
    <w:p w:rsidR="002D1F3F" w:rsidRDefault="00EB277E" w:rsidP="00BE0D06">
      <w:pPr>
        <w:jc w:val="both"/>
      </w:pPr>
      <w:r w:rsidRPr="009813B8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Кувакин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В.А.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Мыслители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России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/Избранные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лекции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по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истории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философии.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9813B8">
        <w:rPr>
          <w:sz w:val="20"/>
          <w:szCs w:val="20"/>
        </w:rPr>
        <w:t>2004.</w:t>
      </w:r>
    </w:p>
  </w:footnote>
  <w:footnote w:id="12">
    <w:p w:rsidR="00EB277E" w:rsidRPr="001901CC" w:rsidRDefault="00EB277E" w:rsidP="00BE0D06">
      <w:pPr>
        <w:jc w:val="both"/>
        <w:rPr>
          <w:sz w:val="20"/>
          <w:szCs w:val="20"/>
        </w:rPr>
      </w:pPr>
      <w:r w:rsidRPr="001901CC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Пустарнаков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В.Ф.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Философия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Просвещения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в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России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и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во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Франции: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опыт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сравнительного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анализа.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М.:</w:t>
      </w:r>
      <w:r w:rsidR="00BE0D06">
        <w:rPr>
          <w:sz w:val="20"/>
          <w:szCs w:val="20"/>
        </w:rPr>
        <w:t xml:space="preserve"> </w:t>
      </w:r>
      <w:r w:rsidRPr="001901CC">
        <w:rPr>
          <w:sz w:val="20"/>
          <w:szCs w:val="20"/>
        </w:rPr>
        <w:t>2001.</w:t>
      </w:r>
      <w:r w:rsidR="00BE0D06">
        <w:rPr>
          <w:sz w:val="20"/>
          <w:szCs w:val="20"/>
        </w:rPr>
        <w:t xml:space="preserve"> </w:t>
      </w:r>
    </w:p>
    <w:p w:rsidR="002D1F3F" w:rsidRDefault="00BE0D06" w:rsidP="00BE0D06">
      <w:pPr>
        <w:jc w:val="both"/>
      </w:pPr>
      <w:r w:rsidRPr="00563440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Чернышевский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Н.Г.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Полное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собрание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сочинение.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Т.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16.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  <w:lang w:val="uk-UA"/>
        </w:rPr>
        <w:t>–</w:t>
      </w:r>
      <w:r>
        <w:rPr>
          <w:sz w:val="20"/>
          <w:szCs w:val="20"/>
          <w:lang w:val="uk-UA"/>
        </w:rPr>
        <w:t xml:space="preserve"> </w:t>
      </w:r>
      <w:r w:rsidRPr="00563440">
        <w:rPr>
          <w:sz w:val="20"/>
          <w:szCs w:val="20"/>
        </w:rPr>
        <w:t>М.,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1939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1953.</w:t>
      </w:r>
      <w:r>
        <w:rPr>
          <w:sz w:val="20"/>
          <w:szCs w:val="20"/>
        </w:rPr>
        <w:t xml:space="preserve"> </w:t>
      </w:r>
    </w:p>
  </w:footnote>
  <w:footnote w:id="13">
    <w:p w:rsidR="002D1F3F" w:rsidRDefault="00EB277E" w:rsidP="00BE0D06">
      <w:pPr>
        <w:jc w:val="both"/>
      </w:pPr>
      <w:r w:rsidRPr="00563440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Чернышевский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Н.Г.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Полное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собрание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сочинение.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Т.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16.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  <w:lang w:val="uk-UA"/>
        </w:rPr>
        <w:t>–</w:t>
      </w:r>
      <w:r w:rsidR="00BE0D06">
        <w:rPr>
          <w:sz w:val="20"/>
          <w:szCs w:val="20"/>
          <w:lang w:val="uk-UA"/>
        </w:rPr>
        <w:t xml:space="preserve"> </w:t>
      </w:r>
      <w:r w:rsidRPr="00563440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1939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1953.</w:t>
      </w:r>
      <w:r w:rsidR="00BE0D06">
        <w:rPr>
          <w:sz w:val="20"/>
          <w:szCs w:val="20"/>
        </w:rPr>
        <w:t xml:space="preserve"> </w:t>
      </w:r>
    </w:p>
  </w:footnote>
  <w:footnote w:id="14">
    <w:p w:rsidR="002D1F3F" w:rsidRDefault="00EB277E" w:rsidP="00BE0D06">
      <w:pPr>
        <w:jc w:val="both"/>
      </w:pPr>
      <w:r w:rsidRPr="00563440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Чернышевский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Н.Г.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Полное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собрание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сочинение.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Т.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16.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  <w:lang w:val="uk-UA"/>
        </w:rPr>
        <w:t>–</w:t>
      </w:r>
      <w:r w:rsidR="00BE0D06">
        <w:rPr>
          <w:sz w:val="20"/>
          <w:szCs w:val="20"/>
          <w:lang w:val="uk-UA"/>
        </w:rPr>
        <w:t xml:space="preserve"> </w:t>
      </w:r>
      <w:r w:rsidRPr="00563440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1939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1953.</w:t>
      </w:r>
      <w:r w:rsidR="00BE0D06">
        <w:rPr>
          <w:sz w:val="20"/>
          <w:szCs w:val="20"/>
        </w:rPr>
        <w:t xml:space="preserve"> </w:t>
      </w:r>
    </w:p>
  </w:footnote>
  <w:footnote w:id="15">
    <w:p w:rsidR="002D1F3F" w:rsidRDefault="00EB277E" w:rsidP="00BE0D06">
      <w:pPr>
        <w:jc w:val="both"/>
      </w:pPr>
      <w:r w:rsidRPr="00563440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Треушникова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С.В.,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Треушников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И.А.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Замечания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о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специфике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философии.//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4-я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Нижегор.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сессия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молодых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ученых: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Гуманит.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науки.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Н.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Новгород,</w:t>
      </w:r>
      <w:r w:rsidR="00BE0D06">
        <w:rPr>
          <w:sz w:val="20"/>
          <w:szCs w:val="20"/>
        </w:rPr>
        <w:t xml:space="preserve"> </w:t>
      </w:r>
      <w:r w:rsidRPr="00563440">
        <w:rPr>
          <w:sz w:val="20"/>
          <w:szCs w:val="20"/>
        </w:rPr>
        <w:t>2000.</w:t>
      </w:r>
      <w:r w:rsidR="00BE0D06">
        <w:rPr>
          <w:sz w:val="20"/>
          <w:szCs w:val="20"/>
        </w:rPr>
        <w:t xml:space="preserve"> </w:t>
      </w:r>
    </w:p>
  </w:footnote>
  <w:footnote w:id="16">
    <w:p w:rsidR="002D1F3F" w:rsidRDefault="00EB277E" w:rsidP="00BE0D06">
      <w:pPr>
        <w:jc w:val="both"/>
      </w:pPr>
      <w:r w:rsidRPr="006E522F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Зеньковский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В.В.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История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философии.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Т.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1,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ч.1.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Л.,</w:t>
      </w:r>
      <w:r w:rsidR="00BE0D06">
        <w:rPr>
          <w:sz w:val="20"/>
          <w:szCs w:val="20"/>
        </w:rPr>
        <w:t xml:space="preserve"> </w:t>
      </w:r>
      <w:r w:rsidRPr="006E522F">
        <w:rPr>
          <w:sz w:val="20"/>
          <w:szCs w:val="20"/>
        </w:rPr>
        <w:t>1991.</w:t>
      </w:r>
      <w:r w:rsidR="00BE0D06" w:rsidRPr="006E522F">
        <w:rPr>
          <w:lang w:val="uk-UA"/>
        </w:rPr>
        <w:t xml:space="preserve"> </w:t>
      </w:r>
    </w:p>
  </w:footnote>
  <w:footnote w:id="17">
    <w:p w:rsidR="002D1F3F" w:rsidRDefault="00EB277E" w:rsidP="00BE0D06">
      <w:pPr>
        <w:widowControl w:val="0"/>
        <w:jc w:val="both"/>
      </w:pPr>
      <w:r w:rsidRPr="005C45FF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Сенчихина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Ю.Б.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История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философии.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Учебно-методич.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пособие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для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студ.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ун-тов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и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гуманит.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ф-тов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ВУЗов.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2005.</w:t>
      </w:r>
    </w:p>
  </w:footnote>
  <w:footnote w:id="18">
    <w:p w:rsidR="002D1F3F" w:rsidRDefault="00EB277E" w:rsidP="00BE0D06">
      <w:pPr>
        <w:jc w:val="both"/>
      </w:pPr>
      <w:r w:rsidRPr="005C45FF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Шпет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Г.Г.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Очерк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развития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философии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//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Соч.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1989.</w:t>
      </w:r>
    </w:p>
  </w:footnote>
  <w:footnote w:id="19">
    <w:p w:rsidR="002D1F3F" w:rsidRDefault="00EB277E" w:rsidP="00BE0D06">
      <w:pPr>
        <w:jc w:val="both"/>
      </w:pPr>
      <w:r w:rsidRPr="005C45FF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Бессонов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Б.Н.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История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русской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философии: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единство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в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многообразии.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//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Социал.-гуманит.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знания.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М.,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2003.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№</w:t>
      </w:r>
      <w:r w:rsidR="00BE0D06">
        <w:rPr>
          <w:sz w:val="20"/>
          <w:szCs w:val="20"/>
        </w:rPr>
        <w:t xml:space="preserve"> </w:t>
      </w:r>
      <w:r w:rsidRPr="005C45FF">
        <w:rPr>
          <w:sz w:val="20"/>
          <w:szCs w:val="20"/>
        </w:rPr>
        <w:t>1.</w:t>
      </w:r>
    </w:p>
  </w:footnote>
  <w:footnote w:id="20">
    <w:p w:rsidR="002D1F3F" w:rsidRDefault="00EB277E" w:rsidP="00E01ABE">
      <w:pPr>
        <w:jc w:val="both"/>
      </w:pPr>
      <w:r w:rsidRPr="005C3A6B">
        <w:rPr>
          <w:rStyle w:val="a6"/>
          <w:sz w:val="20"/>
          <w:szCs w:val="20"/>
        </w:rPr>
        <w:footnoteRef/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Громов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М.Н.,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Мильков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В.В.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Идейные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течения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древнерусской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мысли.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–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СПб.: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РХГИ,</w:t>
      </w:r>
      <w:r w:rsidR="00BE0D06">
        <w:rPr>
          <w:sz w:val="20"/>
          <w:szCs w:val="20"/>
        </w:rPr>
        <w:t xml:space="preserve"> </w:t>
      </w:r>
      <w:r w:rsidRPr="005C3A6B">
        <w:rPr>
          <w:sz w:val="20"/>
          <w:szCs w:val="20"/>
        </w:rPr>
        <w:t>2001.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7E" w:rsidRDefault="00EB277E" w:rsidP="00EB277E">
    <w:pPr>
      <w:pStyle w:val="a3"/>
      <w:framePr w:wrap="around" w:vAnchor="text" w:hAnchor="margin" w:xAlign="center" w:y="1"/>
      <w:rPr>
        <w:rStyle w:val="a5"/>
      </w:rPr>
    </w:pPr>
  </w:p>
  <w:p w:rsidR="00EB277E" w:rsidRDefault="00EB27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7E" w:rsidRPr="00BE0D06" w:rsidRDefault="00EB277E" w:rsidP="00BE0D06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57FAB"/>
    <w:multiLevelType w:val="hybridMultilevel"/>
    <w:tmpl w:val="5472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2ED"/>
    <w:rsid w:val="00020345"/>
    <w:rsid w:val="000631A2"/>
    <w:rsid w:val="00077D15"/>
    <w:rsid w:val="00086AA6"/>
    <w:rsid w:val="000A14DB"/>
    <w:rsid w:val="000B3504"/>
    <w:rsid w:val="00145B71"/>
    <w:rsid w:val="001901CC"/>
    <w:rsid w:val="001C5D13"/>
    <w:rsid w:val="001D19C4"/>
    <w:rsid w:val="002114B0"/>
    <w:rsid w:val="00216E03"/>
    <w:rsid w:val="00217DC0"/>
    <w:rsid w:val="00241812"/>
    <w:rsid w:val="002620C4"/>
    <w:rsid w:val="00282A18"/>
    <w:rsid w:val="002A389C"/>
    <w:rsid w:val="002A4EFF"/>
    <w:rsid w:val="002B4233"/>
    <w:rsid w:val="002D1F3F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33A82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63440"/>
    <w:rsid w:val="0058263D"/>
    <w:rsid w:val="0059166F"/>
    <w:rsid w:val="005B1F3E"/>
    <w:rsid w:val="005C3A6B"/>
    <w:rsid w:val="005C45FF"/>
    <w:rsid w:val="005E6369"/>
    <w:rsid w:val="00620D39"/>
    <w:rsid w:val="00634225"/>
    <w:rsid w:val="006476C1"/>
    <w:rsid w:val="006824EB"/>
    <w:rsid w:val="00687B4B"/>
    <w:rsid w:val="006A1853"/>
    <w:rsid w:val="006D0DC8"/>
    <w:rsid w:val="006E522F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971BE"/>
    <w:rsid w:val="007A6BC5"/>
    <w:rsid w:val="007D5862"/>
    <w:rsid w:val="007F2645"/>
    <w:rsid w:val="00810208"/>
    <w:rsid w:val="0081436D"/>
    <w:rsid w:val="00826FE4"/>
    <w:rsid w:val="00830B49"/>
    <w:rsid w:val="008532FD"/>
    <w:rsid w:val="00857B98"/>
    <w:rsid w:val="008634D1"/>
    <w:rsid w:val="008678B6"/>
    <w:rsid w:val="008930AF"/>
    <w:rsid w:val="0089550B"/>
    <w:rsid w:val="008A6BF8"/>
    <w:rsid w:val="008B2CBC"/>
    <w:rsid w:val="008E050D"/>
    <w:rsid w:val="009039C5"/>
    <w:rsid w:val="009116BE"/>
    <w:rsid w:val="00945BC2"/>
    <w:rsid w:val="009813B8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BE0D06"/>
    <w:rsid w:val="00C042ED"/>
    <w:rsid w:val="00C250C6"/>
    <w:rsid w:val="00C4569A"/>
    <w:rsid w:val="00C53968"/>
    <w:rsid w:val="00C66C29"/>
    <w:rsid w:val="00C70D4F"/>
    <w:rsid w:val="00C90210"/>
    <w:rsid w:val="00CA2883"/>
    <w:rsid w:val="00CB0299"/>
    <w:rsid w:val="00CE084A"/>
    <w:rsid w:val="00CE0B5D"/>
    <w:rsid w:val="00D0381E"/>
    <w:rsid w:val="00D178F9"/>
    <w:rsid w:val="00D17FAA"/>
    <w:rsid w:val="00DB304C"/>
    <w:rsid w:val="00DC4105"/>
    <w:rsid w:val="00E01ABE"/>
    <w:rsid w:val="00E12302"/>
    <w:rsid w:val="00E20865"/>
    <w:rsid w:val="00E547D2"/>
    <w:rsid w:val="00E86B11"/>
    <w:rsid w:val="00E946C0"/>
    <w:rsid w:val="00EB0E8D"/>
    <w:rsid w:val="00EB277E"/>
    <w:rsid w:val="00EB2AE8"/>
    <w:rsid w:val="00EB7913"/>
    <w:rsid w:val="00ED013F"/>
    <w:rsid w:val="00EF5ADE"/>
    <w:rsid w:val="00F11530"/>
    <w:rsid w:val="00F140D4"/>
    <w:rsid w:val="00F17A39"/>
    <w:rsid w:val="00F5296B"/>
    <w:rsid w:val="00F57486"/>
    <w:rsid w:val="00F6323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DD75A4-DD41-4828-AED3-569D7C96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E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42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04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42ED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C042ED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C042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042ED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C042ED"/>
    <w:rPr>
      <w:rFonts w:cs="Times New Roman"/>
    </w:rPr>
  </w:style>
  <w:style w:type="character" w:styleId="a6">
    <w:name w:val="footnote reference"/>
    <w:uiPriority w:val="99"/>
    <w:rsid w:val="00C042E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C042ED"/>
  </w:style>
  <w:style w:type="paragraph" w:styleId="21">
    <w:name w:val="toc 2"/>
    <w:basedOn w:val="a"/>
    <w:next w:val="a"/>
    <w:autoRedefine/>
    <w:uiPriority w:val="39"/>
    <w:semiHidden/>
    <w:rsid w:val="00C042ED"/>
    <w:pPr>
      <w:ind w:left="240"/>
    </w:pPr>
  </w:style>
  <w:style w:type="character" w:styleId="a7">
    <w:name w:val="Hyperlink"/>
    <w:uiPriority w:val="99"/>
    <w:rsid w:val="00C042ED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C042ED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C042E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semiHidden/>
    <w:unhideWhenUsed/>
    <w:rsid w:val="00BE0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BE0D06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4C7B-AE4D-4C16-A18C-DF888E36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6214</Words>
  <Characters>35420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2014-03-22T22:33:00Z</dcterms:created>
  <dcterms:modified xsi:type="dcterms:W3CDTF">2014-03-22T22:33:00Z</dcterms:modified>
</cp:coreProperties>
</file>