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AD" w:rsidRDefault="00453EAD">
      <w:pPr>
        <w:widowControl/>
        <w:snapToGrid/>
        <w:ind w:firstLine="0"/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Теория познания и его нерефлексивные формы</w:t>
      </w:r>
    </w:p>
    <w:p w:rsidR="00453EAD" w:rsidRDefault="00453EAD">
      <w:pPr>
        <w:widowControl/>
        <w:snapToGrid/>
        <w:ind w:firstLine="0"/>
        <w:jc w:val="left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Теория познания (гносеология) - это раздел философии, в котором изучаются такие проблемы как природа познания, его возможности и границы, отношение знания к реальности, субъекта и объекта познания, исследуются всеобщие предпосылки познавательного процесса, условия достоверности знания, критерии его истинности, формы и уровни познания и ряд других проблем.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Термин «гносеология» происходит от греческих слов «gnosis»— знание и «logos»—понятие, учение, т. е. учение (понятие) о знании. В современной литературе данный термин употребляется в двух основных значениях: 1) как учение о всеобщих механизмах и закономерностях познавательной деятельности человека, о «знании вообще», независимо от его конкретных форм и видов; 2) как философская концепция, предметом исследования которой является научное познание в его специфических характеристиках. В этом случае чаще всего используется термин «эпистемология». Однако в ряде случаев термины «гносеология», «теория познания» и «эпистемология» совпадают по содержанию, являются тождественными.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Теория познания (в обоих значениях этого термина) тесно связана с такими фундаментальными науками, как онтология — учение о бытии как таковом, и диалектика — учение о всеобщих законах развития бытия и познания, а также с логикой (в ее различных модификациях) и методологией. Поскольку субъектом познания, «центром» всей гносеологии является человек, то она широко использует данные философской антропологии, этики, культурологии, социологии и других наук о человеке. Опора теории познания тем более необходима потому, что, во-первых, познавательный процесс всегда происходит в определенном социокультурном контексте, а, во-вторых, сегодня набирает силу тенденция социологизации гносеологии, т.е. процесс преобразования последней в подлинное социально-гуманитарное исследование.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При изучении личности познающего субъекта теория познания опирается на данные психологии, физиологии, нейрофизиологии, медицины. Большой и разнообразный материал для обобщающих выводов ей поставляют математика, кибернетика, естественные и гуманитарные науки в совокупности всех своих многообразных дисциплин, история философии и науки и д.р.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В разработке своих проблем, в развертывании собственного гносеология должна «выжимать» последнее в виде «квинтэссенции» из всех своих названных и других источников. При этом недопустимо как недооценивать (а тем более полностью игнорировать), так и абсолютизировать какой-либо один из них. Так, например, строить теорию познания только и исключительно на основе анализа математического (Декарт) или естественнонаучного знания (логический позитивизм) — значит поступать односторонне, а следовательно, ошибочно.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История познания показывает, что знания (и их теоретический образ) всегда обусловлены потребностями общества (в особенности запросами материального производства и практики), и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поэтому должны принимать специфический облик на каждом из качественно различных этапах общественного развития. Вместе с тем по своему содержанию они должны впитать в себя все то новое, что приносит с собой каждый из них. Так, развитие гносеологических представлений конца XX в. определяется тем, что оно происходит в условиях информационного общества и, в частности, опирается на данные так называемой «постнеклассической» науки. Для этого этапа развития характерны: изменение объектов исследования (ими все чаще становятся целостные, саморазвивающиеся «человеко-размерные» системы), широкое распространение идей и методов синергетики методологический плюрализм; преодоление разрыва между объектом и субъектом познания; соединение объективного мира и мира человека; внедрение времени во все науки, их глубокая диалектизация и историзация (в частности, приоритет «становления» над «бытием» у И. Пригожина) и ряд других..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Что касается методов, с помощью которых гносеология исследует своей предмет, т. е. познавательное отношение к действительности в совокупности всех его аспектов, то на современном этапе ее развития все более характерным становится методологический плюрализм. Иными словами, она вправе и обязана использовать любые методы и приемы, которые окажутся наиболее эффективными в данной познавательной ситуации. Это прежде всего философские методы — диалектический, феноменологический, герменевтический и др. Это и то, что называют общенаучной методологией — системный, структурно-функциональный, вероятностный и др. подходы. Это — науки о таких системах; общелогические методы: анализ, синтез, идеализация, индукция, дедукция, аналогия и др. Это также эмпирические и теоретические средства и приемы, характерные для частных наук и научных дисциплин), которые могут быть использованы в теории познания с учетом се специфики. Все названные и другие методы должны применяться в гносеологических исследованиях не порознь, а в их тесном единстве и динамическом, взаимодействии.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sz w:val="24"/>
          <w:szCs w:val="24"/>
        </w:rPr>
        <w:t>В настоящее время расширение предмета теории познания идет одновременно с обновлением и обогащением ее методологического арсенала: гносеологический анализ и аргументация начинают включать определенным образом переосмысленные результаты и методы специальных паук о познании и сознании, социальных и культурологических дисциплин</w:t>
      </w:r>
      <w:r>
        <w:rPr>
          <w:rFonts w:ascii="Arial Narrow" w:hAnsi="Arial Narrow" w:cs="Arial Narrow"/>
          <w:b/>
          <w:bCs/>
          <w:sz w:val="28"/>
          <w:szCs w:val="28"/>
        </w:rPr>
        <w:t>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Познание является важнейшим условием и фактором существования и развития человека, необходимым компонентом его целеполагающей деятельности. Применительно к человеку, познание – это процесс активного, целенаправленного отображения в мозгу человека объективного мира и собственной природы человека.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Если сознание представляет собой выражение отношения человека к своему бытию (осознанное бытие), знание является объективной реальностью, данной в сознании человека, то познание – это процесс приобретения и развития знания, его углубление и расширение, результатом которого является новое знание о мире.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Объективным источником познания является сам человек и окружающий человека внешний мир, природный и социальный. В результате взаимодействия человека с миром у него возникают соответствующие ощущения, восприятия, представления, формируются понятия.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Исходным моментом процесса познания, его основой является деятельность людей, практика. В ходе этой деятельности люди познают окружающие их предметы и проверяют истинность получаемых знаний.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Познание начинается со знакомства с предметом внешнего мира при помощи органов чувств. Органы чувств – это своего рода окна, через которые внешний мир «проникает» в человеческое сознание.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На ступени отображения мира в виде чувственных образов в познании различаются три этапа: ощущение, восприятие и представление.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Ощущение – это отражение отдельных свойств, особенностей, сторон предмета. Организм человека обладает соответствующим физиологическим аппаратом для образования ощущений. Ими являются органы чувств, нервные волокна, по которым возбуждения передаются в соответствующие участки головного мозга, где возбуждения преобразуются в ощущения. Весь дальнейший процесс познания опирается на те сведения о предметах, которые дают нам ощущения. Ощущения – это субъективный образ объективного мира, поскольку принадлежит конкретному человеку (субъекту). Люди по-разному воспринимают одни и те же внешние воздействия, но это нисколько не означает, что органы чувств не дают нам правильного представления о мире.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Восприятие – это процесс отображения предмета в его чувственной непосредственной целостности, в совокупности его внешних сторон и особенностей. Восприятие является более высокой формой чувственного познания.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Представление – это процесс воспроизведения в сознании человека ранее воспринятого предмета с помощью памяти. На основе восприятия здесь осуществляется осмысление отражаемого предмета посредством ассоциаций, соотнесения, сопоставления изучаемого предмета с уже ранее изученными. Вместе с тем, хотя представление и оперирует образами предметов, а не самими предметами, эти образы не несут на себе печать единичности, не заключают в себе подлинного обобщения.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Следует сказать, что по вопросу о роли и соотношении чувственного и рационального в процессе познания в истории философии существовали прямо противоположные точки зрения.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Направление в теории познания, согласно которому ощущение и восприятие – основа и главная форма достоверного познания, получило название сенсуализм. Основной принцип сенсуализма – «нет ничего в разуме, чего не было бы в чувствах». На позициях сенсуализма стояли такие философы, как П. Гассенди, Т. Гоббс, Дж. Локк, К. Гельвеций, Д.. Дидро, П. Гольбах, Дж. Беркли, Д. Юм. Они утверждали, что единственным источником и средством достижения истины являются ощущения и другие формы живого созерцания 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Этому направлению противостоял рационализм, признающий разум основой познания и деятельности людей. Такой точки зрения придерживались Р. Декарт, Б. Спиноза, Г. Лейбниц, Н. Мальбранш и др.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Начиная с ХХ века резко усилился интерес к проблеме иррационального, того, что лежит за пределами досягаемости разума и недоступно постижению с помощью известных рациональных средств. Иррационализмом называют сегодня различные течения в философии, которые ограничивают или отрицают возможности разума в процессе познания и делают основой миропонимания нечто иррациональное. На первый план в такой теории познания выдвигаются воля (волюнтаризм), интуиция (интуитивизм), воображение, инстинкт, мистическое «озарение», бессознательное.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Среди них особенно важную роль играет интуитивизм. Представители этого течения (А. Бергсон, Н. Лосский, С. Франк, Е. Трубецкой) видят в интуиции единственно достоверное средство познания.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Интуиция – это способность субъекта к постижению истины путем прямого ее усмотрения без обоснования с помощью доказательств. Чертами, присущими интуиции, являются внезапность и непосредственность. Им сопутствуют простота, гармония, изящество. Это выражается в том, что при разрешении познавательной проблемы, субъект не перебирает всех возможных путей, но приходит к нужному варианту достижения цели. Интуиция осуществляется в форме мгновенного скачка познания, совершаемого как бы неосознанно. Тем не менее, она дает уверенность в истинном характере результата действия и приносит субъекту чувство удовлетворения.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Интуитивизм, словами Н.Лосского, есть учение о том, что познаваемый предмет, даже и в случае знания о внешнем мире, вступает в сознание познающего индивидуума в подлиннике самолично и потому познаётся так, как он существует независимо от акта познания. Термином интуиция обозначается это непосредственное созерцание предмета познающим субъектом, имение в виду предмета в подлиннике, а не посредством копии, символа, конструкции. Рассматриваемое философское учение по существу сходно с представлением о знании, называемым наивным реализмом, к которому склонны дети и лица, не занимающиеся философией. Они считают, например, что шум ветвей сосны наполняет собой окружающее пространство независимо от того, есть ли слушатели этого события, и не полагают сосну психическим деревом.</w:t>
      </w:r>
    </w:p>
    <w:p w:rsidR="00453EAD" w:rsidRDefault="00453EAD">
      <w:pPr>
        <w:pStyle w:val="2"/>
      </w:pPr>
      <w:r>
        <w:t xml:space="preserve">    Но наиболее важным и ценным моментом гносеологии Лосского является учение о мистической интуиции, познании внелогических, металогических форм бытия. В чувственной и интеллектуальной интуиции познаётся бытие, определённое согласно законам тождества, противоречия и исключённого третьего. Определённость, соответствующая этим законам, есть онтологическая форма, характерная для проявлений субстанциальных деятелей в пространстве и времени и отвлечённо-идеальному бытию. Эту форму можно назвать логической, как необходимую для познаваемости предметов и выразимости их в суждениях. Но есть и металогическое, конкретно-идеальное бытие, все субстанциальные деятели в основе своей металогичны. Их много, каждый есть самостоятельное существо, но с другой стороны они составляют систематическое единство космоса. Но такая соотнесённость их друг с другом влечёт существование  Сверхсистемного и Сверхмирового начала, стоящего выше субстанциальных деятелей и придающего им характер единства. Мистическая интуиция и есть познание в подлиннике сверхпространственных и сверхвременных субстанциальных деятелей, среди них и Сверхсистемного начала, равнопервоначального им по своему бытию, а также запредельного трансцендентного Бога.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К нерефлексивным формам познания относятся: магия, мантика и мистицизм, общей характеристикой которых в контексте основной проблемы гносеологии является снятие ими субъект-объектных отношений. Результаты сопоставления современным российским философом Ю.М. Сердюковым рефлексивных и нерефлексивных форм познания мы обобщили в следующей таблице.</w:t>
      </w: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748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pStyle w:val="1"/>
      </w:pPr>
      <w:r>
        <w:t>Таблица 1 </w:t>
      </w:r>
    </w:p>
    <w:p w:rsidR="00453EAD" w:rsidRDefault="00453EAD">
      <w:pPr>
        <w:widowControl/>
        <w:snapToGrid/>
        <w:ind w:firstLine="36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:rsidR="00453EAD" w:rsidRDefault="00453EAD">
      <w:pPr>
        <w:widowControl/>
        <w:snapToGrid/>
        <w:ind w:firstLine="0"/>
        <w:jc w:val="left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ХАРАКТЕРИСТИКА РЕФЛЕКСИВНЫХ И НЕРЕФЛЕКСИВНЫХ ФОРМ ПОЗНАНИЯ (по Ю.М. Сердюкову)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19"/>
        <w:gridCol w:w="3304"/>
        <w:gridCol w:w="3418"/>
      </w:tblGrid>
      <w:tr w:rsidR="00453EAD" w:rsidRPr="00453EAD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Формы познания</w:t>
            </w:r>
          </w:p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Параметры сравнения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Рефлексивные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Нерефлексивные</w:t>
            </w:r>
          </w:p>
        </w:tc>
      </w:tr>
      <w:tr w:rsidR="00453EAD" w:rsidRPr="00453EAD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Сфера реализации процесса познания</w:t>
            </w:r>
          </w:p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Осознанное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Бессознательное</w:t>
            </w:r>
          </w:p>
        </w:tc>
      </w:tr>
      <w:tr w:rsidR="00453EAD" w:rsidRPr="00453EAD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Методы познания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Логические</w:t>
            </w:r>
          </w:p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(дедукция индукция и др.)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Интуиция (во всем многообразии ее культурно-исторических форм: непосредственное чувственное восприятие, религиозная интуиция, интеллектуальная интуиция и др.)</w:t>
            </w:r>
          </w:p>
        </w:tc>
      </w:tr>
      <w:tr w:rsidR="00453EAD" w:rsidRPr="00453EAD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Способы получения информации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Сознательное сосредоточение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Бессознательное сосредоточение</w:t>
            </w:r>
          </w:p>
        </w:tc>
      </w:tr>
      <w:tr w:rsidR="00453EAD" w:rsidRPr="00453EAD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Способы выражения извлекаемой информации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Понятие, суждение, умозаключение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Символ, знак и троп</w:t>
            </w:r>
          </w:p>
          <w:p w:rsidR="00453EAD" w:rsidRPr="00453EAD" w:rsidRDefault="00453EAD">
            <w:pPr>
              <w:widowControl/>
              <w:snapToGrid/>
              <w:ind w:firstLine="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453EAD">
              <w:rPr>
                <w:rFonts w:ascii="Arial Narrow" w:hAnsi="Arial Narrow" w:cs="Arial Narrow"/>
                <w:sz w:val="24"/>
                <w:szCs w:val="24"/>
              </w:rPr>
              <w:t>(метафора, метонимия)</w:t>
            </w:r>
          </w:p>
        </w:tc>
      </w:tr>
    </w:tbl>
    <w:p w:rsidR="00453EAD" w:rsidRDefault="00453EAD">
      <w:pPr>
        <w:widowControl/>
        <w:snapToGrid/>
        <w:ind w:firstLine="0"/>
        <w:jc w:val="left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0"/>
        <w:jc w:val="lef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Таким образом, специфика рефлексивных и нерефлексивных форм познания обусловлена принципиально различными механизмами, лежащими в их основе.</w:t>
      </w:r>
    </w:p>
    <w:p w:rsidR="00453EAD" w:rsidRDefault="00453EAD">
      <w:pPr>
        <w:widowControl/>
        <w:snapToGrid/>
        <w:ind w:firstLine="0"/>
        <w:jc w:val="left"/>
        <w:rPr>
          <w:rFonts w:ascii="Arial Narrow" w:hAnsi="Arial Narrow" w:cs="Arial Narrow"/>
          <w:sz w:val="24"/>
          <w:szCs w:val="24"/>
        </w:rPr>
      </w:pPr>
    </w:p>
    <w:p w:rsidR="00453EAD" w:rsidRDefault="00453EAD">
      <w:pPr>
        <w:widowControl/>
        <w:snapToGrid/>
        <w:ind w:firstLine="0"/>
        <w:jc w:val="lef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</w:t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bookmarkStart w:id="0" w:name="_GoBack"/>
      <w:bookmarkEnd w:id="0"/>
    </w:p>
    <w:sectPr w:rsidR="00453EA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F46"/>
    <w:rsid w:val="00041F46"/>
    <w:rsid w:val="00453EAD"/>
    <w:rsid w:val="00982EEE"/>
    <w:rsid w:val="00B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D97797-5863-4A65-AD16-0F4831F3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napToGrid w:val="0"/>
      <w:ind w:firstLine="30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napToGrid/>
      <w:ind w:firstLine="360"/>
      <w:jc w:val="right"/>
      <w:outlineLv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widowControl/>
      <w:tabs>
        <w:tab w:val="center" w:pos="4677"/>
        <w:tab w:val="right" w:pos="9355"/>
      </w:tabs>
      <w:snapToGrid/>
      <w:ind w:firstLine="0"/>
      <w:jc w:val="left"/>
    </w:pPr>
    <w:rPr>
      <w:rFonts w:ascii="Arial Narrow" w:hAnsi="Arial Narrow" w:cs="Arial Narrow"/>
      <w:b/>
      <w:bCs/>
      <w:sz w:val="22"/>
      <w:szCs w:val="22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widowControl/>
      <w:tabs>
        <w:tab w:val="center" w:pos="4677"/>
        <w:tab w:val="right" w:pos="9355"/>
      </w:tabs>
      <w:snapToGrid/>
      <w:ind w:firstLine="0"/>
      <w:jc w:val="left"/>
    </w:pPr>
    <w:rPr>
      <w:rFonts w:ascii="Arial Narrow" w:hAnsi="Arial Narrow" w:cs="Arial Narrow"/>
      <w:b/>
      <w:bCs/>
      <w:sz w:val="22"/>
      <w:szCs w:val="22"/>
    </w:r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widowControl/>
      <w:snapToGrid/>
      <w:ind w:firstLine="748"/>
    </w:pPr>
    <w:rPr>
      <w:rFonts w:ascii="Arial Narrow" w:hAnsi="Arial Narrow" w:cs="Arial Narrow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Познание является важнейшим условием и фактором существования и развития человека, необходимым компонентом его целеполагаю</vt:lpstr>
    </vt:vector>
  </TitlesOfParts>
  <Company>p.person</Company>
  <LinksUpToDate>false</LinksUpToDate>
  <CharactersWithSpaces>13297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Познание является важнейшим условием и фактором существования и развития человека, необходимым компонентом его целеполагаю</dc:title>
  <dc:subject/>
  <dc:creator>Masha</dc:creator>
  <cp:keywords/>
  <dc:description/>
  <cp:lastModifiedBy>admin</cp:lastModifiedBy>
  <cp:revision>2</cp:revision>
  <dcterms:created xsi:type="dcterms:W3CDTF">2014-03-20T04:40:00Z</dcterms:created>
  <dcterms:modified xsi:type="dcterms:W3CDTF">2014-03-20T04:40:00Z</dcterms:modified>
</cp:coreProperties>
</file>