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 xml:space="preserve">БЫТИЕ, философское понятие, концептуализирующее наличие явлений и предметов (самих по себе или как данности в сознании), а не содержательный их аспект; синоним понятий «существование» и «сущее». Часто выступает как элемент понятийной </w:t>
      </w:r>
      <w:r w:rsidR="000E4654" w:rsidRPr="000E4654">
        <w:rPr>
          <w:rFonts w:ascii="Times New Roman" w:hAnsi="Times New Roman"/>
          <w:sz w:val="28"/>
          <w:szCs w:val="28"/>
        </w:rPr>
        <w:t>оппозиции</w:t>
      </w:r>
      <w:r w:rsidRPr="000E4654">
        <w:rPr>
          <w:rFonts w:ascii="Times New Roman" w:hAnsi="Times New Roman"/>
          <w:sz w:val="28"/>
          <w:szCs w:val="28"/>
        </w:rPr>
        <w:t xml:space="preserve"> (напр., бытие и сознание, бытие и мышление, бытие и сущность). Проблемы бытия изучает философская дисциплина «онтология ».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Бытие в античной философии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Как самостоятельное понятие бытие возникает в раннегреческой философии, в учении элеатов. Парменид формулирует тезисы, ставшие одной из постоянных парадигм западноевропейского онтологического мышления: бытие есть вечное и неизменное единство; противостоящее ему подвижное многообразие является небытием; бытие есть полнота всех качеств, сливающихся в высшей определенности и утрачивающих частную определимость; одно и то же — мышление и бытие. Уже в самом своем историческом начале категория бытия воспринимается как спорный и парадоксальный конструкт. С одной стороны, она явилась естественным результатом попыток первых греческих философов найти универсальный принцип организации эмпирических явлений, который устанавливался бы мышлением, а не опытом (ср. «логос» Гераклита, «число» пифагорейцев), и как таковая, эта категория принимается всей последующей античной философией, уравновешиваясь лишь тем, что предметом мысли становится не «чистое» бытие, а качественно определенные начала бытия («корни» Эмпедокла, «семена» Анаксагора, «атомы» Демокрита); этот компромисс позволял объяснить связь бытия с конкретными предметами, умопостигаемого — с чувственным восприятием. С другой стороны, категория бытия критикуется софистами (Горгий) как пустое понятие, допускающее отождествление со своей противоположностью, с небытием, а также натурфилософами — как противоречащее обыденному и научному сознанию (апории Зенона).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Платон предложил решение антиномий бытия в своем учении об «идеях». Бытие, по Платону, — это совокупность умопостигаемых форм или сущностей — «идей» — отражением которых является многообразие вещественного мира. Платон проводит границу не только между бытием и становлением, но и между бытием и «безначальным началом» бытия, которое Платон называет также «благом». В онтологии неоплатоников это различение изображается как две последовательные ипостаси «единого» (сверхбытие) и «ума» (бытие). Важной особенностью платоновского понимания бытия явилась связь его с категорией истины. Истина есть результат восхождения к истинно сущему, т. е. к видам бытия.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В философии Аристотеля, следующего в основном платонизму, появляется ряд специфических сдвигов в понимании бытия: отрицание бытия как высшего родового понятия, отождествление его с субстанциальной сущностью единичной вещи, попытка расчленить различные смыслы употребления слова «есть». Однако задачей «первой философии» остается, как и у Платона, усмотрение бытия как такового.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Бытие в средневековой философии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Средневековая философия, опираясь на известное библейское самоопределение Бога: «Я есмь сущий» (Исход, 3,14), часто сближает понятия бытия и Бога, считая бытие единственно возможным безусловным предикатом Бога. Связанная с этим теоретическая проблематика разрабатывалась в т. н. онтологическом аргументе. Различные трактовки бытия выразились также в споре реалистов и номиналистов, соответственно тяготевших к платонизму и аристотелизму. Под влиянием онтологии арабских перипатетиков возникает различение сущности (essentia) и существования (existentia), в которой выделяются два аспекта бытия вообще: его идеальное содержание и его реальная положенность. Фома Аквинский подчеркивает момент творческой действенности бытия, в полной мере наличный в самом бытии (ipsum esse), то есть в Боге как actus purus (чистый акт). Он же вводит метод «аналогии сущего» как способ связи абсолютного бытия и его конечных проявлений.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Сложившаяся еще в античной философии иерархия уровней бытия, нижней границей которой является абсолютное небытие, а верхней — бытие как таковое, в философии средневековья сливается с иерархией добра и красоты. Бытие, таким образом, понимается как полнота реализации всех стремящихся к совершенству качеств, а небытие отождествляется со злом как полной лишенностью присутствия Бога. Такая онтологическая интерпетация зла служила основой для христианской теодицеи, в классическом варианте представленной Августином. Вместе с тем античная триада «Единое — Ум — Душа», в которой бытием в строгом смысле слова являлась вторая ипостась (Ум), оказалась плохой формой для теологического содержания и провоцировала периодически возникавшие (как на Западе, так и на Востоке) богословско-философские конфликты. Мыслители, испытавшие влияние неоплатонизма, тяготели к слиянию диалектики Единого и представлений о Боге (ср. Марий Викторин, «Ареопагитики », Эриугена, Экхарт), но возникавшее при этом разведение понятий бытия и Бога делало эти концепции не вполне ортодоксальными. Более приемлемым было отождествление бытия и Бога, первый вариант которого дал Филон. В онтологических построениях Григория Нисского, Ансельма Кентерберийского и Фомы Аквинского богооткровенное имя (Сущий) трактуется как бескачественный предикат, открывающий бытие, но не дающий познания его сущности. Однако и этот вариант теологического истолкования категории бытия вызывал сомнения чрезмерным сближением умопостигаемого бытия со сверхразумным Богом. Францисканская оппозиция (Иоанн Дунс Скот, Оккам) стремится предельно отдалить разумную необходимость и божественный абсолют, с чем связаны такие концепции, как отождествление сущности и существования, повышение роли сверхразумной воли Бога, учение об «этости» (haeccaitas) предмета, не сливающейся с его эссенциальностью, «чтойностью» (quiditas) (Иоанн Дунс Скот). В философии Николая Кузанского (в первую очередь в учении о «бытии-возможности», possest) и Ф. Суареса вырабатывается компромиссный вариант связи категории бытия с основными онтологическими понятиями.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Бытие в философии нового времени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Философия нового времени выдвинула проблему бытия в форме декартовского тезиса «мыслю, следовательно существую» (cogito, ergo sum). От самоочевидности мыслящего «я» Декарт переходит непосредственно к абсолютному бытию при помощи т. н. онтологического аргумента. Главным результатом «открытия» бытия оказывается онтологическая гарантия истины, обоснование возможности науки. Бытие, таким образом, является для Декарта и всей рационалистической традиций 17 в. точкой пересечения мыслимого и существующего, а потому понятие бытия имеет объективную значимость, т. е. имманентно содержит свой объект. На этом принципе построены системы Мальбранша и Спинозы, разделяет его и Лейбниц. В то же время эмпиризм 17 в. толкует бытие как фактическую данность.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Вместе с темой бытия как субстанции (в гносеологическом аспекте — как совпадения понятия и реальности) постепенно развивается критика категории бытия. Неопределимость бытия, отмеченная Паскалем, стремление сущности к бытию у Лейбница, граница между бытием и волей, проведенная Декартом и Мальбраншем, — все это свидетельствует о сужении сферы применения категории бытия при сохранении традиционного тождества бытия и умопостигаемости. Аналогичное сужение характерно и для философии Беркли с ее тезисом: «быть, значит быть воспринимаемым» (esse est percipi), который позволил осуществить парадоксальный переход от последовательного эмпиризма к платонизму. Если у Беркли бытие — это субстанциальный субъект и его идеальное содержание, то в философии Юма бытие утрачивает даже статус субъективной субстанциальной очевидности, чем отрицается картезианская интуиция cogito, открывшая в свое время ряд онтологических построений 17 в. Юм трактует различие между идеей и фактом как принципиальную несводимость одного к другому, как фундаментальную разнородность бытия и умопостигаемости.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Бытие в немецком классическом идеализме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В немецком классическом идеализме 18-19 вв. идет противоречивый процесс, начинающийся с критики категории бытие Кантом, затем преобразившийся в реставрацию классического понятия абсолютного бытия в философии позднего Фихте, раннего Шеллинга и Гегеля, и завершившийся редукцией бытия к более изначальным слоям абсолюта в волюнтаристических построениях позднего Шеллинга. Тезис Канта о том, что бытие не реальный предикат, а лишь полагание (Setzung ) того или иного содержания, был подхвачен и развит в дальнейшем позитивизмом и аналитической философией; учение Шеллинга о воле, если не исторически, то логически, предваряло идеи иррационализма 19 в.; концепция же выдвинутая Фихте и Гегелем, согласно которой абсолютное бытие есть не только субстанция, включающая в себя любое конечное содержание, но и абсолютный субъект, т. е. универсальное личностное начало, фактически не обрела преемников в западноевропейской традиции и оказывала лишь косвенное влияние на некоторые ее течения (персонализм, неогегельянство, экзистенциализм).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654" w:rsidRDefault="000E46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Бытие в философии 19-20 вв.</w:t>
      </w:r>
    </w:p>
    <w:p w:rsidR="000E4654" w:rsidRDefault="000E4654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19 век (вплоть до 1870-х годов) проходит под лозунгом борьбы со схоластическим онтологизмом. Идею бытия критиковали с различных точек зрения немецкие романтики, Кьеркегор, Шопенгауэр, Фейербах, Ницше. С конца 19 в. начинается реакция против этого течения, выродившегося в иррационализм, субъективизм, релятивизм, вульгарный материализм. Марбургская школа в неокантианстве, неогегельянство, имманентная философия, феноменология пытаются строить новую онтологию на основе аналитики чистого сознания, разъединяя, с одной стороны, традиционную связь бытия и эмпирическо-научного универсума, сохраняя, с другой стороны, идею имманентного присутствия бытия в актах сознания. Неореалисты ищут пути к новому пониманию бытия через элиминацию субъект-объектного понимания опыта.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С другой стороны, течения, близкие к неопозитивизму, особенно философия лингвистического и логического анализа, стремятся снять саму проблематику бытия, которая рассматривается как спекуляция с непроясненными языковыми выражениями, заменить ее проблемами, выраженными языком позитивной науки, или освобожденном от двусмысленностей естественным языком (Карнап, Рассел, Витгенштейн).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Философию Хайдеггера, главной темой которой является вопрос о бытии, можно считать логически последней главой той критики онтологии (на языке Хайдеггера — «метафизики»), которую предприняла «философия жизни» 19 в. и ее романтические предшественники. Основное заблуждение «метафизики» (и всей западноевропейской культуры) — в забвении истинного бытия, в подстановке вместо бытия того или иного «сущего», т. е. вещественной или идеальной конкретности. Само же бытие, по Хайдеггеру, есть нетеоретическое событие (Ereignis) в мире «сущего», «просвет» (Lichtung) в плотности овеществленного универсума, позволяющий человеку в созерцании или действии обрести свою подлинность и историчность.</w:t>
      </w:r>
    </w:p>
    <w:p w:rsidR="00732E1D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МАТЕРИЯ (лат. materia), вещество; субстрат, субстанция; содержание. В латинский философский язык термин введен Цицероном как перевод греч. hyle. Понятие материи как субстрата вещественного мира было выработано в греческой философии в учениях Платона и Аристотеля, при этом материя понималась как неоформленное небытие (meon), чистая потенция (см. Форма и материя). Сформулированное Декартом понятие материи как телесной субстанции (в противоположность «мыслящей» субстанции), обладающей пространственной протяженностью и делимостью, легло в основу материализма 17-18 вв. Материя — центральная категория диалектического материализма.</w:t>
      </w:r>
    </w:p>
    <w:p w:rsidR="00686870" w:rsidRPr="000E4654" w:rsidRDefault="00732E1D" w:rsidP="000E46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54">
        <w:rPr>
          <w:rFonts w:ascii="Times New Roman" w:hAnsi="Times New Roman"/>
          <w:sz w:val="28"/>
          <w:szCs w:val="28"/>
        </w:rPr>
        <w:t>ФОРМА И МАТЕРИЯ, категории философии Аристотеля, воспринятые томизмом; характеризуют всякое подвижное изменчивое бытие. Форма (эйдос, «морфэ») — специфический принцип вещи, ее сущность, цель и движущая сила, актуализирующая первоматерию как простую возможность бытия, бесформенный и неопределенный субстрат изменений (см. Акт и потенция)). Понятия форма и материя соотносительны: нечто оформленное может выступить как материя по отношению к форме более высокого уровня; «форма форм» — ум (нус); в томизме — бог.</w:t>
      </w:r>
      <w:bookmarkStart w:id="0" w:name="_GoBack"/>
      <w:bookmarkEnd w:id="0"/>
    </w:p>
    <w:sectPr w:rsidR="00686870" w:rsidRPr="000E4654" w:rsidSect="000E4654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E1D"/>
    <w:rsid w:val="000E4654"/>
    <w:rsid w:val="002C6484"/>
    <w:rsid w:val="003A56D6"/>
    <w:rsid w:val="00474980"/>
    <w:rsid w:val="00686870"/>
    <w:rsid w:val="00732E1D"/>
    <w:rsid w:val="00C6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E40B8F-7AC2-4070-9ACF-0A05FCF5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87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11814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</dc:creator>
  <cp:keywords/>
  <dc:description/>
  <cp:lastModifiedBy>admin</cp:lastModifiedBy>
  <cp:revision>2</cp:revision>
  <cp:lastPrinted>2009-11-02T22:50:00Z</cp:lastPrinted>
  <dcterms:created xsi:type="dcterms:W3CDTF">2014-03-14T04:47:00Z</dcterms:created>
  <dcterms:modified xsi:type="dcterms:W3CDTF">2014-03-14T04:47:00Z</dcterms:modified>
</cp:coreProperties>
</file>