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51" w:rsidRPr="00865C47" w:rsidRDefault="00603551" w:rsidP="00603551">
      <w:pPr>
        <w:spacing w:before="120"/>
        <w:jc w:val="center"/>
        <w:rPr>
          <w:b/>
          <w:bCs/>
          <w:sz w:val="32"/>
          <w:szCs w:val="32"/>
        </w:rPr>
      </w:pPr>
      <w:bookmarkStart w:id="0" w:name="_Toc30597216"/>
      <w:r w:rsidRPr="00865C47">
        <w:rPr>
          <w:b/>
          <w:bCs/>
          <w:sz w:val="32"/>
          <w:szCs w:val="32"/>
        </w:rPr>
        <w:t>Социальная коммуникация</w:t>
      </w:r>
      <w:bookmarkEnd w:id="0"/>
    </w:p>
    <w:p w:rsidR="00603551" w:rsidRPr="00865C47" w:rsidRDefault="00603551" w:rsidP="00603551">
      <w:pPr>
        <w:spacing w:before="120"/>
        <w:jc w:val="center"/>
        <w:rPr>
          <w:b/>
          <w:bCs/>
          <w:sz w:val="28"/>
          <w:szCs w:val="28"/>
        </w:rPr>
      </w:pPr>
      <w:bookmarkStart w:id="1" w:name="_Toc30597217"/>
      <w:r w:rsidRPr="00865C47">
        <w:rPr>
          <w:b/>
          <w:bCs/>
          <w:sz w:val="28"/>
          <w:szCs w:val="28"/>
        </w:rPr>
        <w:t>1. Основные определения и модели процесса коммуникации</w:t>
      </w:r>
      <w:bookmarkEnd w:id="1"/>
    </w:p>
    <w:p w:rsidR="00603551" w:rsidRPr="00865C47" w:rsidRDefault="00603551" w:rsidP="00603551">
      <w:pPr>
        <w:spacing w:before="120"/>
        <w:ind w:firstLine="567"/>
        <w:jc w:val="both"/>
      </w:pPr>
      <w:bookmarkStart w:id="2" w:name="_Toc30597218"/>
      <w:r w:rsidRPr="00865C47">
        <w:t>Социальная коммуникация это:</w:t>
      </w:r>
      <w:bookmarkEnd w:id="2"/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передача информации, идей, эмоций посредством знаков, символов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процесс, который связывает отдельные части соц. систем друг с другом.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механизм, посредством которого реализуется власть (власть, как попытка определить поведение другого человека). </w:t>
      </w:r>
    </w:p>
    <w:p w:rsidR="00603551" w:rsidRPr="00865C47" w:rsidRDefault="00603551" w:rsidP="00603551">
      <w:pPr>
        <w:spacing w:before="120"/>
        <w:ind w:firstLine="567"/>
        <w:jc w:val="both"/>
      </w:pPr>
      <w:bookmarkStart w:id="3" w:name="_Toc30597219"/>
      <w:r w:rsidRPr="00865C47">
        <w:t>Модель по Г. Лассуэлу:</w:t>
      </w:r>
      <w:bookmarkEnd w:id="3"/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В процессе коммуникации выделяют 5 элементов: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Кто - коммуникатор (тот, кто передает и формирует сообщение)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Что - сообщение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Как - способ передачи сообщения, канал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Кому - аудитория, которой адресуется сообщение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Зачем - с каким эффектом, эффективность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Какие бывают эффекты: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поведенческий эффект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оценочные (аксиологические) эффекты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эмоциональный эффект - влияние на страсти человека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познавательный (когнитивный) эффект </w:t>
      </w:r>
    </w:p>
    <w:p w:rsidR="00603551" w:rsidRPr="00865C47" w:rsidRDefault="00603551" w:rsidP="00603551">
      <w:pPr>
        <w:spacing w:before="120"/>
        <w:jc w:val="center"/>
        <w:rPr>
          <w:b/>
          <w:bCs/>
          <w:sz w:val="28"/>
          <w:szCs w:val="28"/>
        </w:rPr>
      </w:pPr>
      <w:bookmarkStart w:id="4" w:name="_Toc30597220"/>
      <w:r w:rsidRPr="00865C47">
        <w:rPr>
          <w:b/>
          <w:bCs/>
          <w:sz w:val="28"/>
          <w:szCs w:val="28"/>
        </w:rPr>
        <w:t>2. Виды социальной коммуникации</w:t>
      </w:r>
      <w:bookmarkEnd w:id="4"/>
    </w:p>
    <w:p w:rsidR="00603551" w:rsidRPr="00865C47" w:rsidRDefault="00603551" w:rsidP="00603551">
      <w:pPr>
        <w:spacing w:before="120"/>
        <w:ind w:firstLine="567"/>
        <w:jc w:val="both"/>
      </w:pPr>
      <w:bookmarkStart w:id="5" w:name="_Toc30597221"/>
      <w:r w:rsidRPr="00865C47">
        <w:t>По характеру аудитории</w:t>
      </w:r>
      <w:bookmarkEnd w:id="5"/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межличностная (индивидуализированная)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специализированная (групповая)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массовая </w:t>
      </w:r>
    </w:p>
    <w:p w:rsidR="00603551" w:rsidRPr="00865C47" w:rsidRDefault="00603551" w:rsidP="00603551">
      <w:pPr>
        <w:spacing w:before="120"/>
        <w:ind w:firstLine="567"/>
        <w:jc w:val="both"/>
      </w:pPr>
      <w:bookmarkStart w:id="6" w:name="_Toc30597222"/>
      <w:r w:rsidRPr="00865C47">
        <w:t>По источнику сообщения</w:t>
      </w:r>
      <w:bookmarkEnd w:id="6"/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официальная (формальная)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неформальная </w:t>
      </w:r>
    </w:p>
    <w:p w:rsidR="00603551" w:rsidRPr="00865C47" w:rsidRDefault="00603551" w:rsidP="00603551">
      <w:pPr>
        <w:spacing w:before="120"/>
        <w:ind w:firstLine="567"/>
        <w:jc w:val="both"/>
      </w:pPr>
      <w:bookmarkStart w:id="7" w:name="_Toc30597223"/>
      <w:r w:rsidRPr="00865C47">
        <w:t>По каналу передачи</w:t>
      </w:r>
      <w:bookmarkEnd w:id="7"/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вербальная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невербальная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Виды коммуникации различаются практически по каждому элементу процесса коммуникации.</w:t>
      </w:r>
    </w:p>
    <w:p w:rsidR="00603551" w:rsidRPr="00865C47" w:rsidRDefault="00603551" w:rsidP="00603551">
      <w:pPr>
        <w:spacing w:before="120"/>
        <w:jc w:val="center"/>
        <w:rPr>
          <w:b/>
          <w:bCs/>
          <w:sz w:val="28"/>
          <w:szCs w:val="28"/>
        </w:rPr>
      </w:pPr>
      <w:bookmarkStart w:id="8" w:name="_Toc30597224"/>
      <w:r w:rsidRPr="00865C47">
        <w:rPr>
          <w:b/>
          <w:bCs/>
          <w:sz w:val="28"/>
          <w:szCs w:val="28"/>
        </w:rPr>
        <w:t>3. Общественное мнение и социальные стереотипы как результаты массовой коммуникации.</w:t>
      </w:r>
      <w:bookmarkEnd w:id="8"/>
    </w:p>
    <w:p w:rsidR="00603551" w:rsidRPr="00865C47" w:rsidRDefault="00603551" w:rsidP="00603551">
      <w:pPr>
        <w:spacing w:before="120"/>
        <w:ind w:firstLine="567"/>
        <w:jc w:val="both"/>
      </w:pPr>
      <w:bookmarkStart w:id="9" w:name="_Toc30597225"/>
      <w:r w:rsidRPr="00865C47">
        <w:t>Социальный стереотип</w:t>
      </w:r>
      <w:bookmarkEnd w:id="9"/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Это упрощенный образ социальных объектов или событий, обладающий значительной устойчивостью. Устойчивость стереотипов может быть связана с воспроизведением традиционных способов восприятия и мышления. В свою очередь такие способы восприятия и мышления могут воспроизводить доминирование одних социальных групп над другими.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Существование стереотипов может быть частью формирующегося "образа врага". В этом случае они могут навязываться искусственно.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Положительное значение стереотипов - помочь ориентироваться в обстоятельствах, не требующих аналитического мышления.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Отрицательное значение связано с возможным возникновением неприязни, вражды между национальными группами; а так же с тем, что они подменяют анализ информации воспроизведением стандартов поведения и оценки.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Существование стереотипов может влиять на формирование общественного мнения.</w:t>
      </w:r>
    </w:p>
    <w:p w:rsidR="00603551" w:rsidRPr="00865C47" w:rsidRDefault="00603551" w:rsidP="00603551">
      <w:pPr>
        <w:spacing w:before="120"/>
        <w:ind w:firstLine="567"/>
        <w:jc w:val="both"/>
      </w:pPr>
      <w:bookmarkStart w:id="10" w:name="_Toc30597226"/>
      <w:r w:rsidRPr="00865C47">
        <w:t>Общественное мнение</w:t>
      </w:r>
      <w:bookmarkEnd w:id="10"/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Это оценочные суждения групп людей относительно проблем и событий действительности. Существование общественного мнения подразумевает наличие проблемной ситуации, относительно которой возможна дискуссия и коллективного субъекта, способного осознать собственные интересы и дискутировать относительно их реализации. Общественное мнение выступает в экспрессивной (т.е. связанной с выражением эмоций), контрольной и директивной функциях.</w:t>
      </w:r>
    </w:p>
    <w:p w:rsidR="00603551" w:rsidRPr="00865C47" w:rsidRDefault="00603551" w:rsidP="00603551">
      <w:pPr>
        <w:spacing w:before="120"/>
        <w:ind w:firstLine="567"/>
        <w:jc w:val="both"/>
      </w:pPr>
      <w:bookmarkStart w:id="11" w:name="_Toc30597227"/>
      <w:r w:rsidRPr="00865C47">
        <w:t>Информационные барьеры</w:t>
      </w:r>
      <w:bookmarkEnd w:id="11"/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Это препятствия, возникающие в ходе передачи и восприятия сообщений.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Возможные информационные барьеры: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технические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психофизиологические (связаны со способностями человека концентрировать внимание, способностью скорописи)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знаковый и смысловой (подразумевает способность распознавать знаки, знать слова и термины спец. языков; умение восстанавливать смысл знака в определенном контексте)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ситуационный (возникает, когда сообщение неактуально для человека в данной ситуации) </w:t>
      </w:r>
    </w:p>
    <w:p w:rsidR="00603551" w:rsidRPr="00865C47" w:rsidRDefault="00603551" w:rsidP="00603551">
      <w:pPr>
        <w:spacing w:before="120"/>
        <w:ind w:firstLine="567"/>
        <w:jc w:val="both"/>
      </w:pPr>
      <w:bookmarkStart w:id="12" w:name="_Toc30597228"/>
      <w:r w:rsidRPr="00865C47">
        <w:t>4. Слухи как пример неформальной коммуникации</w:t>
      </w:r>
      <w:bookmarkEnd w:id="12"/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Слухи - сведения, достоверность которых не установлена и которые передаются от человека к человеку посредством устной речи.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Слухи различают по содержанию, по информационному наполнению, по потребностям.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слух-мечта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слух-пугало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слух-разделитель </w:t>
      </w:r>
    </w:p>
    <w:p w:rsidR="00603551" w:rsidRPr="00865C47" w:rsidRDefault="00603551" w:rsidP="00603551">
      <w:pPr>
        <w:spacing w:before="120"/>
        <w:ind w:firstLine="567"/>
        <w:jc w:val="both"/>
      </w:pPr>
      <w:bookmarkStart w:id="13" w:name="_Toc30597229"/>
      <w:r w:rsidRPr="00865C47">
        <w:t>Факторы распространения слухов</w:t>
      </w:r>
      <w:bookmarkEnd w:id="13"/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проблемная ситуация, создающая информационную потребность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неудовлетворительность или отсутствие информации; информационная неопределенность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уровень тревожности индивидов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Распространителями и пользователями слухов оказываются высокостатусные группы.</w:t>
      </w:r>
    </w:p>
    <w:p w:rsidR="00603551" w:rsidRPr="00865C47" w:rsidRDefault="00603551" w:rsidP="00603551">
      <w:pPr>
        <w:spacing w:before="120"/>
        <w:ind w:firstLine="567"/>
        <w:jc w:val="both"/>
      </w:pPr>
      <w:bookmarkStart w:id="14" w:name="_Toc30597230"/>
      <w:r w:rsidRPr="00865C47">
        <w:t>Результаты воздействия слухов (по уровням взаимодействия)</w:t>
      </w:r>
      <w:bookmarkEnd w:id="14"/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а) индивидуальный уровень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адаптация к среде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дезинтеграция индивида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б) групповой уровень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сплочение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 xml:space="preserve">разобщение 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в) массовый уровень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изменения общественного мнения и коллективного поведения</w:t>
      </w:r>
    </w:p>
    <w:p w:rsidR="00603551" w:rsidRPr="00865C47" w:rsidRDefault="00603551" w:rsidP="00603551">
      <w:pPr>
        <w:spacing w:before="120"/>
        <w:ind w:firstLine="567"/>
        <w:jc w:val="both"/>
      </w:pPr>
      <w:r w:rsidRPr="00865C47">
        <w:t>Неоднозначность результатов воздействия слухов делает их практически неуправляемыми. Профилактика слухов может быть сведена к распространению своевременной обширной и убедительной информации.</w:t>
      </w:r>
    </w:p>
    <w:p w:rsidR="0050390D" w:rsidRDefault="0050390D">
      <w:bookmarkStart w:id="15" w:name="_GoBack"/>
      <w:bookmarkEnd w:id="15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551"/>
    <w:rsid w:val="003C6E82"/>
    <w:rsid w:val="003E2EE0"/>
    <w:rsid w:val="0050390D"/>
    <w:rsid w:val="00603551"/>
    <w:rsid w:val="00865C47"/>
    <w:rsid w:val="00E3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1AA1A0-6FC9-4563-9A5A-EC9BB855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55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35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3449</Characters>
  <Application>Microsoft Office Word</Application>
  <DocSecurity>0</DocSecurity>
  <Lines>28</Lines>
  <Paragraphs>8</Paragraphs>
  <ScaleCrop>false</ScaleCrop>
  <Company>Home</Company>
  <LinksUpToDate>false</LinksUpToDate>
  <CharactersWithSpaces>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Социальная коммуникация</dc:title>
  <dc:subject/>
  <dc:creator>Alena</dc:creator>
  <cp:keywords/>
  <dc:description/>
  <cp:lastModifiedBy>admin</cp:lastModifiedBy>
  <cp:revision>2</cp:revision>
  <dcterms:created xsi:type="dcterms:W3CDTF">2014-02-19T17:27:00Z</dcterms:created>
  <dcterms:modified xsi:type="dcterms:W3CDTF">2014-02-19T17:27:00Z</dcterms:modified>
</cp:coreProperties>
</file>