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017" w:rsidRPr="00687B58" w:rsidRDefault="00926017" w:rsidP="00926017">
      <w:pPr>
        <w:spacing w:before="120"/>
        <w:jc w:val="center"/>
        <w:rPr>
          <w:b/>
          <w:bCs/>
          <w:sz w:val="32"/>
          <w:szCs w:val="32"/>
        </w:rPr>
      </w:pPr>
      <w:r w:rsidRPr="00687B58">
        <w:rPr>
          <w:b/>
          <w:bCs/>
          <w:sz w:val="32"/>
          <w:szCs w:val="32"/>
        </w:rPr>
        <w:t>Индия и современная философская этика</w:t>
      </w:r>
    </w:p>
    <w:p w:rsidR="00926017" w:rsidRDefault="00926017" w:rsidP="00926017">
      <w:pPr>
        <w:spacing w:before="120"/>
        <w:ind w:firstLine="567"/>
        <w:jc w:val="both"/>
      </w:pPr>
      <w:r w:rsidRPr="008A13C9">
        <w:rPr>
          <w:sz w:val="28"/>
          <w:szCs w:val="28"/>
        </w:rPr>
        <w:t>А.А. Гусейнов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Интерес современного этика к индийскому этическому теоретизированию может быть обусловлен двумя факторами: его существенными отличиями от парадигм этики античной, на которых в значительной мере базируются все последующие этапы европейской "практической философии" вплоть до нынешнего, и теми особенностями индийского этического дискурса, которые отвечают "неантичным" тенденциям этики Нового и Новейшего времени.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Специфика по определению может быть осмыслена только на фоне сходств, ибо в противном случае мы будем иметь дело уже не со спецификой, а с несоизмеримостью. "Родовые" сходства античной и индийской философской этики связаны прежде всего с тем, что в обоих случаях аретология мыслится в перспективе агатологии, в обоих случаях добродетели мыслятся как средства, по отношению к которым конечное благо является целью. Сходства "видовые" касаются типологической близости индийского этического философствования некоторым конкретным направлениям античной этической мысли. Среди этих сходств выделяются разительные параллели, во-первых, между индийскими "уклонистами" от решения этических проблем ("скользкие угри") и последователями Пир-рона, которые твердо стояли на том, что "если в состоянии сомнения ум не знает, что выбирать, то в состоянии воздержания (от суждений. - В.Ш.) он знает, что не надо ничего выбирать" [1] и делали ставку на данное "состояние воздержания" (???), обеспечивавшего гаран1 Гусейнов А.A. Античная этика. М., 2003, С. 240. Ср. весьма удачную экспозицию скептической этики в соответствующем "параграфе" в целом (там же. С. 238-246).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тию душевного покоя как высшего блага [1], во-вторых, между последовательностью духовных достижений у буддистов и иерархией добродетелей "практических", "аскетических" и "теоретических" (правильнее сказать, исходя из самой этимологии этого слова, созерцательных) у Плотина и его последователей. К сходствам же "партикулярным" относится кажущаяся на первый лишь взгляд парадоксальной установка махаянистов и стоиков относительно того, что бодхи-саттва или "мудрец" как "местожительства" нравственности сами могут вполне стоять по ту сторону добра и зла.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Основные различия связаны, вероятно, с тем, что, будучи в обоих случаях средствами для достижения блага как цели, нравственные добродетели для эллинов в определенной мере имеют признаки и "целей самих по себе", тогда как для индийцев они в большей мере "инструментальны", если угодно даже "операциональны", что закономерно вытекает из того, что эллины в большей мере ориентировались на разумно-нравственное устроение индивида в этой жизни, а индийцы - на обеспечение ему лучшей жизни будущей (в идеале же на устранение таковой), которое предполагает употребление функциональных средств [2]. Указанная "инструментальность" нравственности у индийцев соответствует тому, что ориентация на цели в большей мере, чем на блага, была заложена в основание индийской этики, тогда как с этикой античной дело обстоит противоположным образом. Весьма важный пункт различия состоит и в том, что, несмотря на постоянное декларирование альтруистических установок и эмоций, индийская этика значительно более "эгоистична" (вопреки многообразным способам преодоления личностного начала в индийских мировоззрениях - см. § 4, гл. II), чем античная. Отсюда закономерное отсутствие такой социальной добродетели, как справедли-востъво всех многочисленных аретологических перечнях индийских</w:t>
      </w:r>
    </w:p>
    <w:p w:rsidR="00926017" w:rsidRPr="00DA342F" w:rsidRDefault="00926017" w:rsidP="00926017">
      <w:pPr>
        <w:spacing w:before="120"/>
        <w:ind w:firstLine="567"/>
        <w:jc w:val="both"/>
      </w:pPr>
      <w:r w:rsidRPr="00DA342F">
        <w:t>1 Сама формулировка мотивации воздержания от суждений по этическим вопросам у систематизатора скептицизма Секста Эмпирика (раздел "Противэтиков" всочи-нении "Против ученых") поразительно напоминает монолог "скользкого угря" по "Брахмаджала-сутте", в котором он отказывается характеризовать что-либо как благое и не-благое (см. § 9): "Не уловивши блага, он (догматик. - В.Ш.) будет сильно тревожиться от желания овладеть им, а достигнув его, никогда не успокоится вследствие избытка радости или заботы о полученном" и "он (скептик. - В.Ш.) будет жить счастливо и безмятежно, не возносясь при благе как благе и не унижаясь при зле как зле, бодро встречая неизбежно случающееся", так как "нельзя счастливо жить том)', кто предполагает существование каких-либо благ или зол по природе". - Секст Эмпирик. Сочинения в двух томах. Т. 2. М., 1976. С. 26-27.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2 От этого следует отличать обнаруживающуюся в буддийских классификациях "этических объектов" общеиндийскую одержимость таксономиями и другими форма-листическим'и процедурами.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текстов, которая для Аристотеля была средоточием всей добродетели как таковой. Причина в том, что альтруистические совершенства для индийцев в целом и для буддистов в особенности рассматривались как "снаряды" для оттачивания искомых "сверхсостояний" сознания, а не как условия устроения социального космоса, до которого индийскому философу было мало дела и о котором античный этик почти никогда не забывал (отсюда и преимущественные сходства индийских этических установок с установками тех направлений античной этики, которые были принципиально "эгоцентричны" и окончательно преодолели полисное мышление). Будучи вне-социальной, индийская этика оказывается, в отличие от античной, и вне-природной: задачи нравственного самосовершенствования совпадают не со следованием природе мироздания или природе человека (что наиболее последовательно вербализовали стоики [1]), но, напротив, в преодолении "естественных" причинно-следственных связей, обусловливающих пребывание в сансарном состоянии. Наконец, принципиальное различие состояло в том, что если античная этика была по преимуществу этикой поступков, то индийская - этикой мотивов (что с наибольшей выразительностью выявилось в буддийских дебатах относительно того, заключается ли весь поступок в намерении или при его оценке следует учитывать и "внешнюю оболочку" самого действия, а также в полемике двух школ мимансы относительно правильной мотивировки исполнения ведийских предписаний). Принципиальным же это различие является вследствие того, что здесь индийская этика обнаруживает существенные сходства с после-кантианской.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Вопрос же о непосредственной востребованности индийской этики для современного этика может быть сформулирован так: может ли и современный этик почерпнуть для себя что-то из индийского этического теоретизирования в актуальном смысле или последнее может только обеспечить его недостающей исторической информацией о древних и средневековых этических учениях?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1 Правда, античная этика знает и более "натуралистически нейтральное" видение области нравственного, когда, например, Аристотель в "Никомаховой этике" (1103 а) утверждает, что "добродетели существуют в нас не от природы и не вопреки природе, но приобрести их для нас естественно, а благодаря приучению мы в них совершенствуемся". - Аристотель. Соч.: В 4 т. М., 1984. Т. 4. С. 78. Тем не менее жизнь в согласии с природой (которая, правда, не всегда однозначно трактовалась) была едва ли не преобладающим критерием правильной жизни для античных этиков.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Бесспорным достижением буддийских аналитиков-абхидхармистов, которое может быть востребовано и современной этикой, следует признать максимально экономную запись тех "корневых аффектов", которые реализуются в нравственных проступках. Сведение их к триединству мировоззренческого заблуждения, окрашенного общей ложной жизненной ориентацией (то, что подразумевается под заблуждением - моха, которая буквально значит "ослепление"), вожделения и неприязни, с учетом дальнейшей "взаимоукореннос-ти" двух последних факторов, имеет и бесспорный "практический" потенциал: преодоление страстей-следствий может быть эффективным лишь при преодолении страстей-причин. Правда, основной "корневой аффект" буддисты интерпретируют в свете своей системообразующей антиперсоналистической доктрины, которая с наибольшей ясностью выявляет свою несостоятельность именно с этической точки зрения [1]. Однако сами опыты стратификации "феноменальных" и "ноуменальных" аффектов как объясняющих нравственное сознание и поведение, не потеряют своей перспективности до тех пор, пока продолжится этическое теоретизирование.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Немалый интерес представляет также дискуссия йогачаров с вайбхашиками относительно сводимости и, соответственно, несводимости "чувства невреждения" к отсутствию гнева и состраданию. Пользуясь аналогиями с локковскими простыми и сложными идеями, можно сказать, что в ней проблематизировался вопрос: следует ли считать это чувство простым нравственным чувством (т.е. "атомарным", не сводимым к другим) или чувством сложным (которое может быть сложено из других, "простых")? Какую бы ни принять точку зрения при решении данного конкретного вопроса, очевидно, что буддийские философы дают дополнительный импульс для изысканий в области феноменологии нравственных чувств.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К вечным проблемам этики относится и предмет полемики между стхавиравадинами и другими школами традиционного буддизма: является ли нравственно значимым только намерение, только действие или и то и другое при различении степеней их значимости? Стхавиравадины отстаивали третью точку зрения, пользуясь аргументацией здравого смысла, и были вполне правы; между желанием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1 Основное, базовое нравственное чувство - чувство ответственности - по определению предполагает континуальное Я (которое испытывает чувство раскаяния или, напротив, удовлетворенности за содеянное им в прошлом), а элементарная уже нравственная самооценка - представление о свободе субъекта нравственного действия, которое исключает на теоретическом уровне возможность сведения его к автономным сериям психосоматических функций, жестко подчиненных каузальным связям, и требует допущения онтологически отдельного от них субстанциального духовного центра самосознания.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убить кого-то и осуществлением этого желания все же остается некоторое "нравственное пространство", позволяющее понять, почему за действие судят по-иному, чем за простое намерение. Проблема состоит в другом - возможна и желательна ли при решении данного вопроса аргументация не только здравого смысла, но и более "теоретически нагруженная" или решение этических проблем, в отличие от умозрительных, позволяет ограничиться нравственной интуицией? Заслуга буддийских философов видится в том, что они еще раз заставляют нас переосмыслять вопросы метаэтического порядка [1].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Наконец, характер аргументации в споре мимансаков Прабхака-ры и Кумарилы относительно правильной мотивировки совершения предписанных обрядовых действий, безусловно, склоняет заинтересованного этика в пользу деонтологизма в его противостоянии кон-секвенционизму. Позиция Прабхакары и его последователей, настаивавших на наличии особого чувства исполнения долга как несводимого к каким-либо ситуативным интересам и осознании благостности и определенной неописуемости этого чувства, полностью подтверждает компаративистские интуиции Ф.И. Щербатского. Русский буддолог увидел во взглядах Прабхакары прямую аналогию Кантово-му нравственному учению - "категорический императив у браминов" (при осознании всех частных различий), а у его оппонента - аргументацию от того, что у Канта называлось гипотетическим императивом (данная параллель представляется более точной, чем между тем нравственным чувствованием, о котором идет речь у Прабхакары, и moral sense у английских философов XVIII в., начиная с Шефтсбери [2]).</w:t>
      </w:r>
    </w:p>
    <w:p w:rsidR="00926017" w:rsidRPr="00DA342F" w:rsidRDefault="00926017" w:rsidP="00926017">
      <w:pPr>
        <w:spacing w:before="120"/>
        <w:ind w:firstLine="567"/>
        <w:jc w:val="both"/>
      </w:pPr>
      <w:r w:rsidRPr="00DA342F">
        <w:t>1 Нельзя не обратить внимания и на то, что в приписываемом Будде отказе от категорических нравственных оценок в пользу гипотетических (см. § 1, гл. III) мы также имеем дело с метаэтической постановкой вопроса.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2 Обсуждение этого изыскания русского буддолога содержится в книге: Шохин В.К. Ф.И. Щербатской и его компаративистская философия. М., 1998. С. 90-92; ср. также: Шохин В.К. "Категорический императив брахманов" в философской компаративистике // Материалы VIII Международных Кантовских чтений, посвященных 275-летию И. Канта. Калининград, 1999. С. 100-101.</w:t>
      </w:r>
    </w:p>
    <w:p w:rsidR="00926017" w:rsidRDefault="00926017" w:rsidP="00926017">
      <w:pPr>
        <w:spacing w:before="120"/>
        <w:ind w:firstLine="567"/>
        <w:jc w:val="both"/>
      </w:pPr>
      <w:r w:rsidRPr="00DA342F">
        <w:t>Здесь были выделены лишь несколько этических тем, занимавших индийских философов, которые представляются востребованными и для современного этика либо как "вечные темы", либо как предмет современных дискуссий. Разумеется, мы никоим образом не претендуем на исчерпание темы "Индийская и современная этика" (помимо прочего и потому, что такую задачу перед собой и не ставили). Сказанное было призвано проиллюстрировать лишь то, на наш взгляд, бесспорное положение, что этические учения прошлого следует изучать не только ради прошлого. А</w:t>
      </w:r>
      <w:r>
        <w:t xml:space="preserve"> </w:t>
      </w:r>
      <w:r w:rsidRPr="00DA342F">
        <w:t>для обоснования этой точки зрения приведенных примеров, как представляется, уже достаточно.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017"/>
    <w:rsid w:val="000063C7"/>
    <w:rsid w:val="00051FB8"/>
    <w:rsid w:val="00095BA6"/>
    <w:rsid w:val="000D49CD"/>
    <w:rsid w:val="00210DB3"/>
    <w:rsid w:val="0031418A"/>
    <w:rsid w:val="00350B15"/>
    <w:rsid w:val="00377A3D"/>
    <w:rsid w:val="0052086C"/>
    <w:rsid w:val="005A2562"/>
    <w:rsid w:val="00687B58"/>
    <w:rsid w:val="00755964"/>
    <w:rsid w:val="007B40CE"/>
    <w:rsid w:val="008A13C9"/>
    <w:rsid w:val="008C19D7"/>
    <w:rsid w:val="00926017"/>
    <w:rsid w:val="00A44D32"/>
    <w:rsid w:val="00DA342F"/>
    <w:rsid w:val="00DD30D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D8C75A-DBF8-49E8-A6C0-E342A2BA7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01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60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1853</Words>
  <Characters>10564</Characters>
  <Application>Microsoft Office Word</Application>
  <DocSecurity>0</DocSecurity>
  <Lines>88</Lines>
  <Paragraphs>24</Paragraphs>
  <ScaleCrop>false</ScaleCrop>
  <Company>Home</Company>
  <LinksUpToDate>false</LinksUpToDate>
  <CharactersWithSpaces>12393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Индия и современная философская этика</dc:title>
  <dc:subject/>
  <dc:creator>Alena</dc:creator>
  <cp:keywords/>
  <dc:description/>
  <cp:lastModifiedBy>admin</cp:lastModifiedBy>
  <cp:revision>2</cp:revision>
  <dcterms:created xsi:type="dcterms:W3CDTF">2014-02-18T17:34:00Z</dcterms:created>
  <dcterms:modified xsi:type="dcterms:W3CDTF">2014-02-18T17:34:00Z</dcterms:modified>
</cp:coreProperties>
</file>