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Содержание.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Введение.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Часть первая.</w:t>
      </w:r>
    </w:p>
    <w:p w:rsidR="008A4B0B" w:rsidRDefault="008A4B0B">
      <w:pPr>
        <w:pStyle w:val="FR1"/>
        <w:numPr>
          <w:ilvl w:val="0"/>
          <w:numId w:val="1"/>
        </w:numPr>
        <w:tabs>
          <w:tab w:val="left" w:pos="4962"/>
        </w:tabs>
        <w:spacing w:line="360" w:lineRule="auto"/>
        <w:ind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Фома Аквинский - систематизатор средневековой схоластики.</w:t>
      </w:r>
    </w:p>
    <w:p w:rsidR="008A4B0B" w:rsidRDefault="008A4B0B">
      <w:pPr>
        <w:pStyle w:val="FR1"/>
        <w:numPr>
          <w:ilvl w:val="0"/>
          <w:numId w:val="1"/>
        </w:numPr>
        <w:tabs>
          <w:tab w:val="left" w:pos="4962"/>
        </w:tabs>
        <w:spacing w:line="360" w:lineRule="auto"/>
        <w:ind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Номиналистическая критика томизма: приоритет воли над разумом.</w:t>
      </w:r>
    </w:p>
    <w:p w:rsidR="008A4B0B" w:rsidRDefault="008A4B0B">
      <w:pPr>
        <w:pStyle w:val="FR1"/>
        <w:numPr>
          <w:ilvl w:val="0"/>
          <w:numId w:val="1"/>
        </w:numPr>
        <w:tabs>
          <w:tab w:val="left" w:pos="4962"/>
        </w:tabs>
        <w:spacing w:line="360" w:lineRule="auto"/>
        <w:ind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Специфика средневековой схоластики.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 Часть вторая. </w:t>
      </w:r>
    </w:p>
    <w:p w:rsidR="008A4B0B" w:rsidRDefault="008A4B0B">
      <w:pPr>
        <w:pStyle w:val="FR1"/>
        <w:numPr>
          <w:ilvl w:val="0"/>
          <w:numId w:val="1"/>
        </w:numPr>
        <w:spacing w:line="360" w:lineRule="auto"/>
        <w:ind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Ориентации и переориентации религиозной философии.</w:t>
      </w:r>
    </w:p>
    <w:p w:rsidR="008A4B0B" w:rsidRDefault="008A4B0B">
      <w:pPr>
        <w:pStyle w:val="FR1"/>
        <w:numPr>
          <w:ilvl w:val="0"/>
          <w:numId w:val="1"/>
        </w:numPr>
        <w:spacing w:line="360" w:lineRule="auto"/>
        <w:ind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Проблема «доказательства» существования бога.</w:t>
      </w:r>
    </w:p>
    <w:p w:rsidR="008A4B0B" w:rsidRDefault="008A4B0B">
      <w:pPr>
        <w:pStyle w:val="FR1"/>
        <w:numPr>
          <w:ilvl w:val="0"/>
          <w:numId w:val="1"/>
        </w:numPr>
        <w:spacing w:line="360" w:lineRule="auto"/>
        <w:ind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«Поворот к человеку»: классическое и неклассическое в религиозной философии.</w:t>
      </w:r>
    </w:p>
    <w:p w:rsidR="008A4B0B" w:rsidRDefault="008A4B0B">
      <w:pPr>
        <w:pStyle w:val="FR1"/>
        <w:spacing w:line="360" w:lineRule="auto"/>
        <w:ind w:left="0"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Заключение.</w:t>
      </w:r>
    </w:p>
    <w:p w:rsidR="008A4B0B" w:rsidRDefault="008A4B0B">
      <w:pPr>
        <w:pStyle w:val="FR1"/>
        <w:spacing w:line="360" w:lineRule="auto"/>
        <w:ind w:left="0" w:right="-19"/>
        <w:jc w:val="left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Список литературы.</w:t>
      </w:r>
    </w:p>
    <w:p w:rsidR="008A4B0B" w:rsidRDefault="008A4B0B">
      <w:pPr>
        <w:pStyle w:val="FR1"/>
        <w:spacing w:line="360" w:lineRule="auto"/>
        <w:ind w:left="0" w:right="-19"/>
        <w:jc w:val="left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/>
        <w:jc w:val="left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/>
        <w:jc w:val="left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left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/>
        <w:jc w:val="left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Введение.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/>
        <w:jc w:val="both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Одним из наиболее выдающихся представителей зрелой схоластики  был  монах  доминиканcкого  ордена  Фома  Аквинский (1225/26 - 1274), ученик знаменитого средневекового теолога, философа и естествоиспытатели Альберта Великого (1193-1280). Как и его учитель, Фома пытался обосновать основные принципы христианской  теологии,  опираясь на учение Аристотеля.  При этом последнее было преобразовано им  таким  образом,  чтобы оно  не вступало в противоречие с догматами творения мира из ничего и с учением о богочеловечестве Иисуса Христа. </w:t>
      </w:r>
      <w:r>
        <w:rPr>
          <w:rFonts w:ascii="AG_Benguiat" w:hAnsi="AG_Benguiat"/>
          <w:b w:val="0"/>
          <w:sz w:val="28"/>
          <w:lang w:val="en-US"/>
        </w:rPr>
        <w:t>“</w:t>
      </w:r>
      <w:r>
        <w:rPr>
          <w:rFonts w:ascii="AG_Benguiat" w:hAnsi="AG_Benguiat"/>
          <w:b w:val="0"/>
          <w:sz w:val="28"/>
        </w:rPr>
        <w:t>Как и у Августина  и  Боэция,  у Фомы высшее начало есть само бытие</w:t>
      </w:r>
      <w:r>
        <w:rPr>
          <w:rFonts w:ascii="AG_Benguiat" w:hAnsi="AG_Benguiat"/>
          <w:b w:val="0"/>
          <w:sz w:val="28"/>
          <w:lang w:val="en-US"/>
        </w:rPr>
        <w:t>”</w:t>
      </w:r>
      <w:r>
        <w:rPr>
          <w:rStyle w:val="a6"/>
          <w:rFonts w:ascii="AG_Benguiat" w:hAnsi="AG_Benguiat"/>
          <w:b w:val="0"/>
          <w:sz w:val="28"/>
          <w:lang w:val="en-US"/>
        </w:rPr>
        <w:footnoteReference w:id="1"/>
      </w:r>
      <w:r>
        <w:rPr>
          <w:rFonts w:ascii="AG_Benguiat" w:hAnsi="AG_Benguiat"/>
          <w:b w:val="0"/>
          <w:sz w:val="28"/>
        </w:rPr>
        <w:t xml:space="preserve">. Под бытием Фома разумеет  христианского  бога,  сотворившего мир,  как о том повествуется в Ветхом завете. Различая бытие и сущность (существование и суетность), Фома тем не менее не противопоставляет их, а вслед за Аристотелем подчеркивает их обильный корень.  Сущности, или субстанции, обладают, согласно Фоме,  самостоятельным  бытием,  в  отличие  от  акцидетнций (свойств,  качеств),  которые  существуют  только  благодаря субстанциям.  Отсюда  выводится  различение  так  называемых субстанциальных и акцидентальных форм. 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Часть первая.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1.Фома Аквинский -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систематизатор средневековой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схоластики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Субстанциальная форма сообщает всякой вещи простое бытие,  а потому при ее появлении мы говорим,  что нечто возникло, а при ее исчезновении - что  нечто  разрушилось.  Акцидентальная же форма – источник определенных качеств,  а не бытия вещей.  Различая вслед  за Аристотелем актуальное и потенциальное состояния, Фома рассматривает бытие как первое из актуальных состояний.  Во всякой вещи,  считает Фома,  столько бытия, сколько в ней актуальности. Соответственно он выделяет четыре уровня бытийности вещей в зависимости от степени их актуальности,  выражающейся в том, каким образом форма, то есть актуальное начало, реализуется в вещах.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</w:t>
      </w:r>
      <w:r>
        <w:rPr>
          <w:rFonts w:ascii="AG_Benguiat" w:hAnsi="AG_Benguiat"/>
          <w:b w:val="0"/>
          <w:sz w:val="28"/>
          <w:lang w:val="en-US"/>
        </w:rPr>
        <w:t>“</w:t>
      </w:r>
      <w:r>
        <w:rPr>
          <w:rFonts w:ascii="AG_Benguiat" w:hAnsi="AG_Benguiat"/>
          <w:b w:val="0"/>
          <w:sz w:val="28"/>
        </w:rPr>
        <w:t>На низшей ступени бытия форма, согласно Фоме, составляет  лишь внешнюю определенность вещи (causa formalis);  сюда относятся неорганические стихии  и  минералы</w:t>
      </w:r>
      <w:r>
        <w:rPr>
          <w:rFonts w:ascii="AG_Benguiat" w:hAnsi="AG_Benguiat"/>
          <w:b w:val="0"/>
          <w:sz w:val="28"/>
          <w:lang w:val="en-US"/>
        </w:rPr>
        <w:t>”</w:t>
      </w:r>
      <w:r>
        <w:rPr>
          <w:rStyle w:val="a6"/>
          <w:rFonts w:ascii="AG_Benguiat" w:hAnsi="AG_Benguiat"/>
          <w:b w:val="0"/>
          <w:sz w:val="28"/>
          <w:lang w:val="en-US"/>
        </w:rPr>
        <w:footnoteReference w:id="2"/>
      </w:r>
      <w:r>
        <w:rPr>
          <w:rFonts w:ascii="AG_Benguiat" w:hAnsi="AG_Benguiat"/>
          <w:b w:val="0"/>
          <w:sz w:val="28"/>
        </w:rPr>
        <w:t xml:space="preserve">.  На  следующей ступени форма предстает как конечная причина (causa finalis) вещи,  которой поэтому внутренне  присуща  целесообразность, названная Аристотелем "растительной душой", как бы формирующей тело изнутри - таковы растения.  Третий уровень - животные, здесь форма есть действующая причина (causa efficiens), поэтому сущее имеет в себе не только цель,  но и начало деятельности,  движения. На всех трех ступенях форма по-разному привходит в материю,  организуя и одушевляя ее.  Наконец, на четвертой  ступени  форма  предстает уже не как организующий принцип материи, а сама по себе, независимо от материи (forma perse,  forma separata). Это дух, или ум, разумная душа, высшее из сотворенных сущих.  </w:t>
      </w:r>
      <w:r>
        <w:rPr>
          <w:rFonts w:ascii="AG_Benguiat" w:hAnsi="AG_Benguiat"/>
          <w:b w:val="0"/>
          <w:sz w:val="28"/>
          <w:lang w:val="en-US"/>
        </w:rPr>
        <w:t>“</w:t>
      </w:r>
      <w:r>
        <w:rPr>
          <w:rFonts w:ascii="AG_Benguiat" w:hAnsi="AG_Benguiat"/>
          <w:b w:val="0"/>
          <w:sz w:val="28"/>
        </w:rPr>
        <w:t>Не будучи связана с  материей, человеческая разумная душа не погибает со смертью тела. Поэтому разумная душа носит у Фомы имя "самосущего"</w:t>
      </w:r>
      <w:r>
        <w:rPr>
          <w:rStyle w:val="a6"/>
          <w:rFonts w:ascii="AG_Benguiat" w:hAnsi="AG_Benguiat"/>
          <w:b w:val="0"/>
          <w:sz w:val="28"/>
        </w:rPr>
        <w:footnoteReference w:id="3"/>
      </w:r>
      <w:r>
        <w:rPr>
          <w:rFonts w:ascii="AG_Benguiat" w:hAnsi="AG_Benguiat"/>
          <w:b w:val="0"/>
          <w:sz w:val="28"/>
        </w:rPr>
        <w:t>.  В отличие от нее,  чувственные души животных не являются самосущими, а потому они и не имеют специфических для разумной души  действий,  осуществляемых только самой душой, отдельно от тела мышления и воления;  все действия  животных,  как  и  многие действия человека (кроме мышления и акта воли),  осуществляются с помощью тела. Поэтому души животных погибают вместе с телом,  тогда  как человеческая душа - бессмертна,  она есть самое благородное в сотворенной природе.  Следуя Аристотелю,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Фома  рассматривает разум как высшую среди человеческих способностей,  видя и в самой воле прежде всего ее разумное определение,  каковым он считает способность различать добро и зло. Как и Аристотель, </w:t>
      </w:r>
      <w:r>
        <w:rPr>
          <w:rFonts w:ascii="AG_Benguiat" w:hAnsi="AG_Benguiat"/>
          <w:b w:val="0"/>
          <w:sz w:val="28"/>
          <w:lang w:val="en-US"/>
        </w:rPr>
        <w:t>“</w:t>
      </w:r>
      <w:r>
        <w:rPr>
          <w:rFonts w:ascii="AG_Benguiat" w:hAnsi="AG_Benguiat"/>
          <w:b w:val="0"/>
          <w:sz w:val="28"/>
        </w:rPr>
        <w:t>Фома видит в воле практический разум, то есть разум,  направленный на действие,  а не на познание, руководящий нашими поступками, нашим жизненным поведением, а не теоретической установкой, не созерцанием</w:t>
      </w:r>
      <w:r>
        <w:rPr>
          <w:rFonts w:ascii="AG_Benguiat" w:hAnsi="AG_Benguiat"/>
          <w:b w:val="0"/>
          <w:sz w:val="28"/>
          <w:lang w:val="en-US"/>
        </w:rPr>
        <w:t>”</w:t>
      </w:r>
      <w:r>
        <w:rPr>
          <w:rStyle w:val="a6"/>
          <w:rFonts w:ascii="AG_Benguiat" w:hAnsi="AG_Benguiat"/>
          <w:b w:val="0"/>
          <w:sz w:val="28"/>
          <w:lang w:val="en-US"/>
        </w:rPr>
        <w:footnoteReference w:id="4"/>
      </w:r>
      <w:r>
        <w:rPr>
          <w:rFonts w:ascii="AG_Benguiat" w:hAnsi="AG_Benguiat"/>
          <w:b w:val="0"/>
          <w:sz w:val="28"/>
        </w:rPr>
        <w:t>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В мире Фомы подлинно сущими оказываются в конечном счете  индивидуумы.  Этот  своеобразный  персонализм составляет специфику как томистской онтологии, так и средневекового естествознания,  предмет  которого  -  действие индивидуальных "скрытых сущностей" - "деятелей", душ, духов, сил. Начиная с бога,  который  есть чистый акт бытия,  и кончая малейшей из сотворенных сущностей,  каждое сущее обладает  относительной самостоятельностью,  которая  уменьшается  по  мере движения вниз,  то есть по мере убывания актуальности бытия  существ, располагающихся на иерархической лестнице.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Учение Фомы пользовалось большим влиянием в средние века, римская церковь официально признала его.</w:t>
      </w:r>
      <w:r>
        <w:rPr>
          <w:rFonts w:ascii="AG_Benguiat" w:hAnsi="AG_Benguiat"/>
          <w:b w:val="0"/>
          <w:sz w:val="28"/>
          <w:lang w:val="en-US"/>
        </w:rPr>
        <w:t>”</w:t>
      </w:r>
      <w:r>
        <w:rPr>
          <w:rFonts w:ascii="AG_Benguiat" w:hAnsi="AG_Benguiat"/>
          <w:b w:val="0"/>
          <w:sz w:val="28"/>
        </w:rPr>
        <w:t xml:space="preserve"> Это учение возрождается и в XX веке под названием неотомизма -  одного  из наиболее  значительных течений католической философии на Западе</w:t>
      </w:r>
      <w:r>
        <w:rPr>
          <w:rFonts w:ascii="AG_Benguiat" w:hAnsi="AG_Benguiat"/>
          <w:b w:val="0"/>
          <w:sz w:val="28"/>
          <w:lang w:val="en-US"/>
        </w:rPr>
        <w:t>”</w:t>
      </w:r>
      <w:r>
        <w:rPr>
          <w:rStyle w:val="a6"/>
          <w:rFonts w:ascii="AG_Benguiat" w:hAnsi="AG_Benguiat"/>
          <w:b w:val="0"/>
          <w:sz w:val="28"/>
          <w:lang w:val="en-US"/>
        </w:rPr>
        <w:footnoteReference w:id="5"/>
      </w:r>
      <w:r>
        <w:rPr>
          <w:rFonts w:ascii="AG_Benguiat" w:hAnsi="AG_Benguiat"/>
          <w:b w:val="0"/>
          <w:sz w:val="28"/>
        </w:rPr>
        <w:t>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2.Номиналистическая критика томизма: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приоритет воли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над разумом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  Как утке отмечалось,  средневековая философия вобрала в себя две различные традиции:  христианское откровение и  античную философию.  В учении Фомы возобладала последняя. Напротив,  критики томизма апеллируют к библейской традиции,  в рамках которой воля (прежде всего божественная воля - всемогущество бог) стоит выше разума и определяет  его.  Расцвет номинализма  приходится  на  XIII  и особенно XIV века;  его главные представители - Уильям Оккам  (1285-  1349),  Иоганн Буридан (конец XIII-XIV век),  Николай из Отрекура (XIV век) и др.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В номинализме  пересматривается характерная для аристотеленвской традиции (Альберт Великий,  Фома Аквинский)  трактовка бытия,  предполагающая тесную связь бытия с категорией сущности.  Хотя Фома и проводил различие между бытием и сущностью (ибо только в боге бытие и суетность совпадают),  однако считал, что сущность стоит к бытию ближе всех остальных категорий.  </w:t>
      </w:r>
      <w:r>
        <w:rPr>
          <w:rFonts w:ascii="AG_Benguiat" w:hAnsi="AG_Benguiat"/>
          <w:b w:val="0"/>
          <w:sz w:val="28"/>
          <w:lang w:val="en-US"/>
        </w:rPr>
        <w:t>“</w:t>
      </w:r>
      <w:r>
        <w:rPr>
          <w:rFonts w:ascii="AG_Benguiat" w:hAnsi="AG_Benguiat"/>
          <w:b w:val="0"/>
          <w:sz w:val="28"/>
        </w:rPr>
        <w:t>А поскольку сущность постигается не чувствами, а только умом, то отсюда вытекает, с одной стороны, приоритет разума, а с другой - иерархическая структура тварного мира</w:t>
      </w:r>
      <w:r>
        <w:rPr>
          <w:rFonts w:ascii="AG_Benguiat" w:hAnsi="AG_Benguiat"/>
          <w:b w:val="0"/>
          <w:sz w:val="28"/>
          <w:lang w:val="en-US"/>
        </w:rPr>
        <w:t>”</w:t>
      </w:r>
      <w:r>
        <w:rPr>
          <w:rStyle w:val="a6"/>
          <w:rFonts w:ascii="AG_Benguiat" w:hAnsi="AG_Benguiat"/>
          <w:b w:val="0"/>
          <w:sz w:val="28"/>
          <w:lang w:val="en-US"/>
        </w:rPr>
        <w:footnoteReference w:id="6"/>
      </w:r>
      <w:r>
        <w:rPr>
          <w:rFonts w:ascii="AG_Benguiat" w:hAnsi="AG_Benguiat"/>
          <w:b w:val="0"/>
          <w:sz w:val="28"/>
        </w:rPr>
        <w:t>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В номинализме определяющее значение получает идеи божественного  всемогущества,  а творение рассматривается как акт божественной воли. Здесь номиналисты опираются на учение Дунса Скота (ок. 1266-1308), который обосновывал зависимость разума от воли и считал божественную волю причиной  всякого  бытия.  Однако номиналисты пошли дальше Дунса Скота:  если тот считал,  что в воле бога был выбор сущностей, которые он хотел  сотворить,  то Уильям Оккам упразднил само понятие сущности,  лишив его того основания, которое оно имело в ранней и  средней схоластике,  а именно тезиса о существовании идей (общих понятий) в божественном уме.  Идеи,  согласно Оккаму, не  существуют  в божественном уме в качестве прообразов вещей: сначала бог творит вещи своей волей, а идеи возникают в его уме уже после вещей, как представления вещей.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Номиналисты не разрывают и с Аристотелем,  но дают его философии  иную,  чем  Фома,  интерпретацию,  опираясь на учение Аристотеля о первичной сущности как  единичном  индивидууме. Согласно  Оккаму,  реально существует лишь единичное;  любая вещь вне души единична,  и только в познающей душе возникают общие понятия. С этой точки зрения сущность (субстанция) утрачивает свое значение чего-то самостоятельно сущего,  которому  принадлежат акциденции,  не имеющие бытия помимо субстанций:  бог, согласно номиналистам, может создать любую акциденцию,  не нуждаясь для этого в субстанции.  Понятно, что при этом различение субстанциальных  и  акцидентальных  форм теряет  свое  значение,  и главное понятие томизма – понятие субстанциальной формы - больше не признается необходимым.  В результате умопостигаемое бытие вещи (сущность) и ее простое эмпирически данное бытие (явление) оказываются тождественными. Номинализм не признает различных бытийных уровней вещей, их онтологической иерархии.  Отсюда равный интерес  ко  всем деталям  и  подробностям  эмпирического мира.  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Ориентация на опыт - характерная черта номинализма,  которую  впоследствии перенимают  наследники средневекового номинализма английские философы эмпирического направления - Фр. Бэкон, Дж. Локк, Д. Юм.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Номинализм формирует  новое  представление о познании и природе познающего ума.  Поскольку познание направлено не на сущность вещи, а на вещь в ее единичности, то оно есть интуитивное познание (созерцание отдельных  свойств  вещи),  его предметом  оказываются  акциденции,  и знание трактуется как установление связи между явлениями.  Это ведет к  пересмотру аристотелевской и томистской логики и онтологии, для которых субстанция есть условие возможности отношений (не случайно в томизме  гиоссология - учение о познании не существует независимо от онтологии - учения о бытии). Теоретическая способность в номинализме утрачивает свой онтологический характер, умы больше не рассматриваются как высшие в  иерархии  сотворенных сущих.  Ум,  с точки зрения Николая из Отрекура, есть не бытие,  а представление о бытии, направленность на бытие.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Так в номинализме формируется представление о субъекте, противостоящем объекту как особого рода реальности,  и о познании  как субъект-объектном отношении.  Такой подход способствует выделению гносеологии в самостоятельную область исследования. Но одновременно возникает субъективистское истолкование ума,  человеческого духа, рождается убеждение, что явления  психического  ряда достовернее физических,  поскольку даны нам непосредственно,  тогда как физические -  опосредованно. В теологии при этом подчеркивается приоритет веры над знанием, воли - над разумом, практически-нравственного начала - перед теоретическим.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</w:t>
      </w:r>
      <w:r>
        <w:rPr>
          <w:rFonts w:ascii="AG_Benguiat" w:hAnsi="AG_Benguiat"/>
          <w:b w:val="0"/>
          <w:sz w:val="28"/>
          <w:lang w:val="en-US"/>
        </w:rPr>
        <w:t>“</w:t>
      </w:r>
      <w:r>
        <w:rPr>
          <w:rFonts w:ascii="AG_Benguiat" w:hAnsi="AG_Benguiat"/>
          <w:b w:val="0"/>
          <w:sz w:val="28"/>
        </w:rPr>
        <w:t>В целом номинализм в значительной мере  определил  направление  и характер развития как философии,  так и экспериментально-математического  естествознания  XVI-XVII   веков</w:t>
      </w:r>
      <w:r>
        <w:rPr>
          <w:rFonts w:ascii="AG_Benguiat" w:hAnsi="AG_Benguiat"/>
          <w:b w:val="0"/>
          <w:sz w:val="28"/>
          <w:lang w:val="en-US"/>
        </w:rPr>
        <w:t>”</w:t>
      </w:r>
      <w:r>
        <w:rPr>
          <w:rStyle w:val="a6"/>
          <w:rFonts w:ascii="AG_Benguiat" w:hAnsi="AG_Benguiat"/>
          <w:b w:val="0"/>
          <w:sz w:val="28"/>
          <w:lang w:val="en-US"/>
        </w:rPr>
        <w:footnoteReference w:id="7"/>
      </w:r>
      <w:r>
        <w:rPr>
          <w:rFonts w:ascii="AG_Benguiat" w:hAnsi="AG_Benguiat"/>
          <w:b w:val="0"/>
          <w:sz w:val="28"/>
        </w:rPr>
        <w:t>. Именно с номинализмом было связано также и развитие материализма в эпоху Возрождения и в новое время.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  <w:lang w:val="en-US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  <w:lang w:val="en-US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  <w:lang w:val="en-US"/>
        </w:rPr>
      </w:pP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3.Специфика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средневековой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схоластики.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Средневековая философия вошла в историю мысли под  именем схоластики, которое уже с давних пор употребляется в нарицательном смысле как  символ  оторванного  от  реальности, пустого словопрения.  И для этого, несомненно, имеются основания.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Главная отличительная  особенность схоластики состоит в том,  что она сознательно рассматривает себя как науку, поставленную на службу теологии, как "служанку теологии".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     Начиная примерно с XI века в средневековых  университетах возрастает интерес к проблемам логики, которая в ту эпоху носила название диалектики и предмет  которой  составляла работа  над  понятиями.  Большое влияние на философов XI-XI</w:t>
      </w:r>
      <w:r>
        <w:rPr>
          <w:rFonts w:ascii="AG_Benguiat" w:hAnsi="AG_Benguiat"/>
          <w:b w:val="0"/>
          <w:sz w:val="28"/>
          <w:lang w:val="en-US"/>
        </w:rPr>
        <w:t xml:space="preserve">I </w:t>
      </w:r>
      <w:r>
        <w:rPr>
          <w:rFonts w:ascii="AG_Benguiat" w:hAnsi="AG_Benguiat"/>
          <w:b w:val="0"/>
          <w:sz w:val="28"/>
        </w:rPr>
        <w:t>веков оказали логические сочинения Боэция, комментировавшего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 xml:space="preserve">"Категории"  Аристотеля и создавшего систему тонких развлечений и определений понятий,  с помощью которых теологи  пытались осмыслить "истины веры".  </w:t>
      </w:r>
      <w:r>
        <w:rPr>
          <w:rFonts w:ascii="AG_Benguiat" w:hAnsi="AG_Benguiat"/>
          <w:b w:val="0"/>
          <w:sz w:val="28"/>
          <w:lang w:val="en-US"/>
        </w:rPr>
        <w:t>“</w:t>
      </w:r>
      <w:r>
        <w:rPr>
          <w:rFonts w:ascii="AG_Benguiat" w:hAnsi="AG_Benguiat"/>
          <w:b w:val="0"/>
          <w:sz w:val="28"/>
        </w:rPr>
        <w:t>Стремление к рационалистическому обоснованию христианской догматики привело к тому, что диалектика превратилась  в одну из главных философских дисциплин,  а расчленение и тончайшее различение понятий, установление  определений  и  дефиниций,  занимавшее многие умы, подчас вырождалось в  тяжеловесные  многотомные  построения</w:t>
      </w:r>
      <w:r>
        <w:rPr>
          <w:rFonts w:ascii="AG_Benguiat" w:hAnsi="AG_Benguiat"/>
          <w:b w:val="0"/>
          <w:sz w:val="28"/>
          <w:lang w:val="en-US"/>
        </w:rPr>
        <w:t>”</w:t>
      </w:r>
      <w:r>
        <w:rPr>
          <w:rStyle w:val="a6"/>
          <w:rFonts w:ascii="AG_Benguiat" w:hAnsi="AG_Benguiat"/>
          <w:b w:val="0"/>
          <w:sz w:val="28"/>
          <w:lang w:val="en-US"/>
        </w:rPr>
        <w:footnoteReference w:id="8"/>
      </w:r>
      <w:r>
        <w:rPr>
          <w:rFonts w:ascii="AG_Benguiat" w:hAnsi="AG_Benguiat"/>
          <w:b w:val="0"/>
          <w:sz w:val="28"/>
        </w:rPr>
        <w:t>.</w:t>
      </w:r>
    </w:p>
    <w:p w:rsidR="008A4B0B" w:rsidRDefault="008A4B0B">
      <w:pPr>
        <w:pStyle w:val="FR1"/>
        <w:tabs>
          <w:tab w:val="left" w:pos="4962"/>
        </w:tabs>
        <w:spacing w:line="360" w:lineRule="auto"/>
        <w:ind w:left="0" w:right="-19" w:firstLine="851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b w:val="0"/>
          <w:sz w:val="28"/>
        </w:rPr>
        <w:t>Увлечение таким образом понятой диалектикой нашло свое выражение в характерных для средневековых  университетов  диспутах, которые иной раз длилась по 10-12 часов с небольшим перерывом на обед.  Эти слово изречения и хитросплетения схоластической  учености порождали к себе оппозицию.  Схоластической диалектике противостояли различные мистические течения,  а в XV-XVI  веках эта оппозиция получает оформление в виде гуманистической светской культуры,  с одной стороны, и неоплатонической натурфилософии, с другой.</w:t>
      </w:r>
    </w:p>
    <w:p w:rsidR="008A4B0B" w:rsidRDefault="008A4B0B">
      <w:pPr>
        <w:pStyle w:val="FR1"/>
        <w:spacing w:line="360" w:lineRule="auto"/>
        <w:ind w:left="0"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pStyle w:val="FR1"/>
        <w:spacing w:line="360" w:lineRule="auto"/>
        <w:ind w:left="0"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4.Ориентации и переориентации религиозной философии</w:t>
      </w: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</w:p>
    <w:p w:rsidR="008A4B0B" w:rsidRDefault="008A4B0B">
      <w:pPr>
        <w:spacing w:before="240" w:line="360" w:lineRule="auto"/>
        <w:ind w:right="-19" w:firstLine="340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>Каковы те главные принципы и ориентации, которые религи</w:t>
      </w:r>
      <w:r>
        <w:rPr>
          <w:rFonts w:ascii="AG_Benguiat" w:hAnsi="AG_Benguiat"/>
          <w:sz w:val="28"/>
        </w:rPr>
        <w:softHyphen/>
        <w:t>озная философия кладет в основание философии? По каким линиям идет обновление, переориентирование религиозной фи</w:t>
      </w:r>
      <w:r>
        <w:rPr>
          <w:rFonts w:ascii="AG_Benguiat" w:hAnsi="AG_Benguiat"/>
          <w:sz w:val="28"/>
        </w:rPr>
        <w:softHyphen/>
        <w:t>лософской мысли? Ограничимся при рассмотрении этих вопросов важнейшим аспектом — пониманием задач, предмета, главных проблем философии.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В понимании задач философии </w:t>
      </w:r>
      <w:r>
        <w:rPr>
          <w:rFonts w:ascii="AG_Benguiat" w:hAnsi="AG_Benguiat"/>
          <w:i/>
          <w:sz w:val="28"/>
        </w:rPr>
        <w:t>традиционная ориентация</w:t>
      </w:r>
      <w:r>
        <w:rPr>
          <w:rFonts w:ascii="AG_Benguiat" w:hAnsi="AG_Benguiat"/>
          <w:sz w:val="28"/>
        </w:rPr>
        <w:t xml:space="preserve"> рас</w:t>
      </w:r>
      <w:r>
        <w:rPr>
          <w:rFonts w:ascii="AG_Benguiat" w:hAnsi="AG_Benguiat"/>
          <w:sz w:val="28"/>
        </w:rPr>
        <w:softHyphen/>
        <w:t>сматривает философию как деятельность, подчиненную богословию (теологии, учению о боге), ибо считается, что вера, на которой зиждется теология, выше разума, на котором основываются философские дисциплины</w:t>
      </w:r>
      <w:r>
        <w:rPr>
          <w:rFonts w:ascii="AG_Benguiat" w:hAnsi="AG_Benguiat"/>
          <w:sz w:val="28"/>
          <w:lang w:val="en-US"/>
        </w:rPr>
        <w:t>.</w:t>
      </w:r>
      <w:r>
        <w:rPr>
          <w:rFonts w:ascii="AG_Benguiat" w:hAnsi="AG_Benguiat"/>
          <w:sz w:val="28"/>
        </w:rPr>
        <w:t xml:space="preserve"> Такой была установка Фомы Аквинского Но и другие христианские вероисповедания в общем при</w:t>
      </w:r>
      <w:r>
        <w:rPr>
          <w:rFonts w:ascii="AG_Benguiat" w:hAnsi="AG_Benguiat"/>
          <w:sz w:val="28"/>
        </w:rPr>
        <w:softHyphen/>
        <w:t xml:space="preserve">держивались и придерживаются догмы о первенстве и главенстве теологии над философией </w:t>
      </w:r>
      <w:r>
        <w:rPr>
          <w:rFonts w:ascii="AG_Benguiat" w:hAnsi="AG_Benguiat"/>
          <w:i/>
          <w:sz w:val="28"/>
        </w:rPr>
        <w:t>Переориентация</w:t>
      </w:r>
      <w:r>
        <w:rPr>
          <w:rFonts w:ascii="AG_Benguiat" w:hAnsi="AG_Benguiat"/>
          <w:sz w:val="28"/>
        </w:rPr>
        <w:t xml:space="preserve"> в этом пункте, в сущ</w:t>
      </w:r>
      <w:r>
        <w:rPr>
          <w:rFonts w:ascii="AG_Benguiat" w:hAnsi="AG_Benguiat"/>
          <w:sz w:val="28"/>
        </w:rPr>
        <w:softHyphen/>
        <w:t>ности, не является официальным пересмотром догмы. Но неорто</w:t>
      </w:r>
      <w:r>
        <w:rPr>
          <w:rFonts w:ascii="AG_Benguiat" w:hAnsi="AG_Benguiat"/>
          <w:sz w:val="28"/>
        </w:rPr>
        <w:softHyphen/>
        <w:t>доксальные религиозные философы «явочным порядком» как бы обособляют философию от теологии и в своих философских заня</w:t>
      </w:r>
      <w:r>
        <w:rPr>
          <w:rFonts w:ascii="AG_Benguiat" w:hAnsi="AG_Benguiat"/>
          <w:sz w:val="28"/>
        </w:rPr>
        <w:softHyphen/>
        <w:t>тиях далеко не всегда «оглядываются» на теологические установки.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 Соответственно этому трактуется и предмет философии. </w:t>
      </w:r>
      <w:r>
        <w:rPr>
          <w:rFonts w:ascii="AG_Benguiat" w:hAnsi="AG_Benguiat"/>
          <w:i/>
          <w:sz w:val="28"/>
        </w:rPr>
        <w:t>Традиционная ориентация,</w:t>
      </w:r>
      <w:r>
        <w:rPr>
          <w:rFonts w:ascii="AG_Benguiat" w:hAnsi="AG_Benguiat"/>
          <w:sz w:val="28"/>
        </w:rPr>
        <w:t xml:space="preserve"> которой придерживается и сегодня официальная религиозная философия, это теоцентризм. Все, что говорится о мире или человеке, все этические проблемы должны быть, согласно этой догме, сконцентрированы вокруг проблемы бога, доказательства его существования, его мудрости, вокруг идеи божественного блага. </w:t>
      </w:r>
      <w:r>
        <w:rPr>
          <w:rFonts w:ascii="AG_Benguiat" w:hAnsi="AG_Benguiat"/>
          <w:sz w:val="28"/>
          <w:lang w:val="en-US"/>
        </w:rPr>
        <w:t>“</w:t>
      </w:r>
      <w:r>
        <w:rPr>
          <w:rFonts w:ascii="AG_Benguiat" w:hAnsi="AG_Benguiat"/>
          <w:i/>
          <w:sz w:val="28"/>
        </w:rPr>
        <w:t>Переориентация</w:t>
      </w:r>
      <w:r>
        <w:rPr>
          <w:rFonts w:ascii="AG_Benguiat" w:hAnsi="AG_Benguiat"/>
          <w:sz w:val="28"/>
        </w:rPr>
        <w:t xml:space="preserve"> состоит в том, что религиозные философы XX века, по большей части не посягая на пересмотр традиционной «иерархии проблем», в то же время фактически выдвигают в центр философии социальные, этические проблемы или вопрос о человеке</w:t>
      </w:r>
      <w:r>
        <w:rPr>
          <w:rFonts w:ascii="AG_Benguiat" w:hAnsi="AG_Benguiat"/>
          <w:sz w:val="28"/>
          <w:lang w:val="en-US"/>
        </w:rPr>
        <w:t>”</w:t>
      </w:r>
      <w:r>
        <w:rPr>
          <w:rStyle w:val="a6"/>
          <w:rFonts w:ascii="AG_Benguiat" w:hAnsi="AG_Benguiat"/>
          <w:sz w:val="28"/>
          <w:lang w:val="en-US"/>
        </w:rPr>
        <w:footnoteReference w:id="9"/>
      </w:r>
      <w:r>
        <w:rPr>
          <w:rFonts w:ascii="AG_Benguiat" w:hAnsi="AG_Benguiat"/>
          <w:sz w:val="28"/>
        </w:rPr>
        <w:t>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Пожалуй, в наибольшей степени скорректированы представления о взаимоотношениях религии, религиозной философии и науки. Если Фома Аквинский и другие классики религиозной мысли ранних этапов ее развития стремились превратить не только философию, но и науку в служанку теологии, то в новое время реализация этой установки столкнулась с серьезными трудностями. Тем в большей мере это справедливо в отношении нашего времени, и религиозные идеологи вынуждены считаться с этим Новый, более гибкий подход к проблеме науки и религии выражен, например, в принятом II Ватиканским собором (1965) документе (конституции) «Церковь в современном мире», а также в последующих работах католических идеологов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 Суть обновленного подхода к вопросу о науке и разуме, и роли в современном мире можно кратко сформулировать сле</w:t>
      </w:r>
      <w:r>
        <w:rPr>
          <w:rFonts w:ascii="AG_Benguiat" w:hAnsi="AG_Benguiat"/>
          <w:sz w:val="28"/>
        </w:rPr>
        <w:softHyphen/>
        <w:t>дующим образом. С одной стороны, признается, что благодаря науке и технике в современном мире уже осуществлены и еще будут осуществлены коренные преобразования. Религиозные философы, занимающиеся проблемами естествознания, в существенной мере ушли от традиционного цензорского тона по отношению к науке. Науке и разуму даже льстят, научные открытия используют для «модернизации» религиозных воззрений.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С другой стороны, в документах и произведениях, о которых идет речь, большую роль занимают критика науки, демонстрация противоричивости научно-технического прогресса. Эта критика бывает до вольно меткой и убедительной, причем нередко говорится и о существенных издержках негуманистического пути использования достижений науки и техники</w:t>
      </w:r>
      <w:r>
        <w:rPr>
          <w:rFonts w:ascii="AG_Benguiat" w:hAnsi="AG_Benguiat"/>
          <w:sz w:val="28"/>
          <w:lang w:val="en-US"/>
        </w:rPr>
        <w:t>.</w:t>
      </w:r>
      <w:r>
        <w:rPr>
          <w:rFonts w:ascii="AG_Benguiat" w:hAnsi="AG_Benguiat"/>
          <w:sz w:val="28"/>
        </w:rPr>
        <w:t xml:space="preserve"> Однако главная цель критических рассуждений о науке просвечивает вполне определенно все беды, утверждают религиозные авторы, проистекают из того, что сов ременный мир «забыл бога» или, во всяком случае, вспоминает о нем не так часто, как следовало бы.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И вместе с тем религиозная философия все шире и все активнее вовлекает в орбиту своего рассмотрения проблемы об</w:t>
      </w:r>
      <w:r>
        <w:rPr>
          <w:rFonts w:ascii="AG_Benguiat" w:hAnsi="AG_Benguiat"/>
          <w:sz w:val="28"/>
        </w:rPr>
        <w:softHyphen/>
        <w:t>щества, человека, науки. Это одна из примет обновления рели</w:t>
      </w:r>
      <w:r>
        <w:rPr>
          <w:rFonts w:ascii="AG_Benguiat" w:hAnsi="AG_Benguiat"/>
          <w:sz w:val="28"/>
          <w:lang w:val="uk-UA"/>
        </w:rPr>
        <w:t>г</w:t>
      </w:r>
      <w:r>
        <w:rPr>
          <w:rFonts w:ascii="AG_Benguiat" w:hAnsi="AG_Benguiat"/>
          <w:sz w:val="28"/>
        </w:rPr>
        <w:t xml:space="preserve">иозной мысли. </w:t>
      </w:r>
      <w:r>
        <w:rPr>
          <w:rFonts w:ascii="AG_Benguiat" w:hAnsi="AG_Benguiat"/>
          <w:sz w:val="28"/>
          <w:lang w:val="en-US"/>
        </w:rPr>
        <w:t>“</w:t>
      </w:r>
      <w:r>
        <w:rPr>
          <w:rFonts w:ascii="AG_Benguiat" w:hAnsi="AG_Benguiat"/>
          <w:sz w:val="28"/>
        </w:rPr>
        <w:t>Но выходя к этим проблемам, религиозная мысль делает себя более уязвимой, более открытой для критики — как извне, так и изнутри</w:t>
      </w:r>
      <w:r>
        <w:rPr>
          <w:rFonts w:ascii="AG_Benguiat" w:hAnsi="AG_Benguiat"/>
          <w:sz w:val="28"/>
          <w:lang w:val="en-US"/>
        </w:rPr>
        <w:t>”</w:t>
      </w:r>
      <w:r>
        <w:rPr>
          <w:rStyle w:val="a6"/>
          <w:rFonts w:ascii="AG_Benguiat" w:hAnsi="AG_Benguiat"/>
          <w:sz w:val="28"/>
          <w:lang w:val="en-US"/>
        </w:rPr>
        <w:footnoteReference w:id="10"/>
      </w:r>
      <w:r>
        <w:rPr>
          <w:rFonts w:ascii="AG_Benguiat" w:hAnsi="AG_Benguiat"/>
          <w:sz w:val="28"/>
        </w:rPr>
        <w:t>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 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Извне — когда нерелигиозные философы и ученые обнаруживают несоответствие между проблемами современного мира и предлагаемым религиозной мыслью пони манием их сути и путей решения Изнутри — когда верующие, теологи, религиозные философы раскалываются на два борющихся лагеря — догматиков и обновленцев Одни не желают никаких перемен и приходят в ужас от любой попытки идейной переориентации, от того, что церковь якобы слишком «открывает себя» миру Другие, напротив, недовольны все еще сохраняющейся догматичностью, робостью предпринимаемых теоретических ре</w:t>
      </w:r>
      <w:r>
        <w:rPr>
          <w:rFonts w:ascii="AG_Benguiat" w:hAnsi="AG_Benguiat"/>
          <w:sz w:val="28"/>
        </w:rPr>
        <w:softHyphen/>
        <w:t>форм. В таком напряженном состоянии идейного противобор</w:t>
      </w:r>
      <w:r>
        <w:rPr>
          <w:rFonts w:ascii="AG_Benguiat" w:hAnsi="AG_Benguiat"/>
          <w:sz w:val="28"/>
        </w:rPr>
        <w:softHyphen/>
        <w:t>ства — сопротивляясь переменам и все же идя на них, обновляясь, но сохраняя традиционалистско-догматические основы — рели</w:t>
      </w:r>
      <w:r>
        <w:rPr>
          <w:rFonts w:ascii="AG_Benguiat" w:hAnsi="AG_Benguiat"/>
          <w:sz w:val="28"/>
        </w:rPr>
        <w:softHyphen/>
        <w:t>гиозная философия и подходит к концу XX века Три основных для нее «блока проблем» — бога, человека, нравственности — мы дальше рассмотрим подробнее</w:t>
      </w:r>
    </w:p>
    <w:p w:rsidR="008A4B0B" w:rsidRDefault="008A4B0B">
      <w:pPr>
        <w:pStyle w:val="FR1"/>
        <w:spacing w:line="360" w:lineRule="auto"/>
        <w:ind w:left="0" w:right="-19"/>
        <w:jc w:val="both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spacing w:line="360" w:lineRule="auto"/>
        <w:ind w:left="0" w:right="-19"/>
        <w:jc w:val="both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5.Проблема «доказательства» существования бога</w:t>
      </w: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</w:p>
    <w:p w:rsidR="008A4B0B" w:rsidRDefault="008A4B0B">
      <w:pPr>
        <w:spacing w:before="200" w:line="360" w:lineRule="auto"/>
        <w:ind w:right="-19" w:firstLine="320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>На протяжении всей своей истории, включая и современ</w:t>
      </w:r>
      <w:r>
        <w:rPr>
          <w:rFonts w:ascii="AG_Benguiat" w:hAnsi="AG_Benguiat"/>
          <w:sz w:val="28"/>
        </w:rPr>
        <w:softHyphen/>
        <w:t>ность, важнейшим, если не первейшим предметом теологии и ре</w:t>
      </w:r>
      <w:r>
        <w:rPr>
          <w:rFonts w:ascii="AG_Benguiat" w:hAnsi="AG_Benguiat"/>
          <w:sz w:val="28"/>
        </w:rPr>
        <w:softHyphen/>
        <w:t>лигиозной философии остается проблема бытия бога. Правда, в наше время в адрес религиозной философии все чаще высказы</w:t>
      </w:r>
      <w:r>
        <w:rPr>
          <w:rFonts w:ascii="AG_Benguiat" w:hAnsi="AG_Benguiat"/>
          <w:sz w:val="28"/>
        </w:rPr>
        <w:softHyphen/>
        <w:t>вается такой упрек: если бог действительно и несомненно суще</w:t>
      </w:r>
      <w:r>
        <w:rPr>
          <w:rFonts w:ascii="AG_Benguiat" w:hAnsi="AG_Benguiat"/>
          <w:sz w:val="28"/>
        </w:rPr>
        <w:softHyphen/>
        <w:t>ствует, почему необходимо столь упорно доказывать его сущест</w:t>
      </w:r>
      <w:r>
        <w:rPr>
          <w:rFonts w:ascii="AG_Benguiat" w:hAnsi="AG_Benguiat"/>
          <w:sz w:val="28"/>
        </w:rPr>
        <w:softHyphen/>
        <w:t>вование? На этом основании иные «новаторы» в самой религии предлагают вообще исключить данную проблематику из теологии и философии. Однако большинство религиозных мыслителей с та</w:t>
      </w:r>
      <w:r>
        <w:rPr>
          <w:rFonts w:ascii="AG_Benguiat" w:hAnsi="AG_Benguiat"/>
          <w:sz w:val="28"/>
        </w:rPr>
        <w:softHyphen/>
        <w:t xml:space="preserve">кими радикальными предложениями не соглашаются. </w:t>
      </w:r>
      <w:r>
        <w:rPr>
          <w:rFonts w:ascii="AG_Benguiat" w:hAnsi="AG_Benguiat"/>
          <w:sz w:val="28"/>
          <w:lang w:val="en-US"/>
        </w:rPr>
        <w:t>“</w:t>
      </w:r>
      <w:r>
        <w:rPr>
          <w:rFonts w:ascii="AG_Benguiat" w:hAnsi="AG_Benguiat"/>
          <w:sz w:val="28"/>
        </w:rPr>
        <w:t>Они исходят из того, что следует постоянно, на каждом новом уровне развития человечества преодолевать сомнения верующих относительное существования бога и опровергать аргументы атеистов относительно его несуществования</w:t>
      </w:r>
      <w:r>
        <w:rPr>
          <w:rFonts w:ascii="AG_Benguiat" w:hAnsi="AG_Benguiat"/>
          <w:sz w:val="28"/>
          <w:lang w:val="en-US"/>
        </w:rPr>
        <w:t>”</w:t>
      </w:r>
      <w:r>
        <w:rPr>
          <w:rStyle w:val="a6"/>
          <w:rFonts w:ascii="AG_Benguiat" w:hAnsi="AG_Benguiat"/>
          <w:sz w:val="28"/>
          <w:lang w:val="en-US"/>
        </w:rPr>
        <w:footnoteReference w:id="11"/>
      </w:r>
      <w:r>
        <w:rPr>
          <w:rFonts w:ascii="AG_Benguiat" w:hAnsi="AG_Benguiat"/>
          <w:sz w:val="28"/>
        </w:rPr>
        <w:t>. А это особенно нужно, заявляют! религиозные философы, в наш век, когда все подобные сомнения</w:t>
      </w:r>
      <w:r>
        <w:rPr>
          <w:rFonts w:ascii="AG_Benguiat" w:hAnsi="AG_Benguiat"/>
          <w:i/>
          <w:sz w:val="28"/>
        </w:rPr>
        <w:t xml:space="preserve"> </w:t>
      </w:r>
      <w:r>
        <w:rPr>
          <w:rFonts w:ascii="AG_Benguiat" w:hAnsi="AG_Benguiat"/>
          <w:sz w:val="28"/>
        </w:rPr>
        <w:t>и аргументы становятся особенно сильными и настойчивыми.</w:t>
      </w:r>
    </w:p>
    <w:p w:rsidR="008A4B0B" w:rsidRDefault="008A4B0B">
      <w:pPr>
        <w:spacing w:line="360" w:lineRule="auto"/>
        <w:ind w:right="-19" w:firstLine="320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 w:firstLine="320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>Не следует упрощать дело и думать, будто вследствие этого ' современная христианская философия во всех случаях оказывается простым повтором ее классических, то есть средневековых образцов. Такие подходы тоже существуют. Но как раз наиболее известные религиозные мыслители наших дней — те, кто полагают, что путь к принятию существования бога надо прокладывать от самых острых проблем, тревог, забот современного челове</w:t>
      </w:r>
      <w:r>
        <w:rPr>
          <w:rFonts w:ascii="AG_Benguiat" w:hAnsi="AG_Benguiat"/>
          <w:sz w:val="28"/>
        </w:rPr>
        <w:softHyphen/>
        <w:t>чества. Рассуждения наиболее крупных представителей религиозной философии XX столетия на все эти темы отнюдь не беспочвенны и порою проникнуты глубоким критицизмом, искренним беспокойством о судьбе человека и мира. Но какими бы оправданными ни были их критические суждения, все же главная цель остается прежней — утвердить догму о существовании бога.</w:t>
      </w:r>
    </w:p>
    <w:p w:rsidR="008A4B0B" w:rsidRDefault="008A4B0B">
      <w:pPr>
        <w:spacing w:line="360" w:lineRule="auto"/>
        <w:ind w:right="-19" w:firstLine="320"/>
        <w:jc w:val="both"/>
        <w:rPr>
          <w:rFonts w:ascii="AG_Benguiat" w:hAnsi="AG_Benguiat"/>
          <w:sz w:val="28"/>
        </w:rPr>
      </w:pPr>
    </w:p>
    <w:p w:rsidR="008A4B0B" w:rsidRDefault="008A4B0B">
      <w:pPr>
        <w:pStyle w:val="a3"/>
        <w:spacing w:line="360" w:lineRule="auto"/>
      </w:pPr>
      <w:r>
        <w:t>Приглядимся к тому, как это делается, в чем тут сходство с традициями религиозной мысли и каковы новые моменты по сравнению с ними. Традиционализм религиозной философии отчетливо проявляется не только в том, что доказательства бытие бога, как и много веков назад, ставятся в центр философии — и по существу «покрывают» философскую проблему бытия. В еще большей степени традиционализм сказывается в том, что за основу принимаются те традиционные «схемы» доказательства бытия бога, которые обосновали для неотомистов Фома Аквинский, для неоавгустинистов — Августин, для протестантов — Лютер, Кальвин, Меланхтон и другие богословы. Покажем это на примере отношения неотомистов к соответствующим разделам наследия их идейного вдохновителя Фомы Аквинского.</w:t>
      </w:r>
    </w:p>
    <w:p w:rsidR="008A4B0B" w:rsidRDefault="008A4B0B">
      <w:pPr>
        <w:pStyle w:val="a4"/>
        <w:spacing w:before="180" w:line="360" w:lineRule="auto"/>
      </w:pPr>
      <w:r>
        <w:t xml:space="preserve">   По содержанию «доказательства» бытия бога у Фомы сведены к пяти главным доводам, которые изложены им в «Сумме теоло</w:t>
      </w:r>
      <w:r>
        <w:softHyphen/>
        <w:t>гии» и «Сумме против язычников». 1. Если брать движение во всей его полноте, а не только кик механическое движение, нель</w:t>
      </w:r>
      <w:r>
        <w:softHyphen/>
        <w:t>зя не прийти, заявляет Фома, к «перводвигателю», то есть к богу. 2. Сходен довод, касающийся причинности. Если все в мире имеет свою причину, то должна быть «первопричина» — бог. 3. Бес</w:t>
      </w:r>
      <w:r>
        <w:softHyphen/>
        <w:t>численное множество возможностей и случайностей в мире должно управляться, заявляет Фома Аквинский, абсолютно необходимой причиной, то есть богом. 4. Для измерения степеней совершенства (красоты, блага, истинности) всего, что есть в мире, должно су</w:t>
      </w:r>
      <w:r>
        <w:softHyphen/>
        <w:t>ществовать абсолютное мерило всех совершенств, те есть бог. 5. Все существующее в мере обладает какой-то степенью целесообразности. А значит, должна, существовать, «последняя» и главная цель — бог. Несостоятельность доводов Фомы раскрыта во II главе учебника. Здесь же нам важно ответить на вопрос: как относились и относятся к «доказательствам» Фомы Аквинского неотомисты?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Картина этого отношения довольно причудлива. С одной стороны, неотомисты, относя доказательства бытия бога к серд</w:t>
      </w:r>
      <w:r>
        <w:rPr>
          <w:rFonts w:ascii="AG_Benguiat" w:hAnsi="AG_Benguiat"/>
          <w:sz w:val="28"/>
        </w:rPr>
        <w:softHyphen/>
        <w:t>цевине католической, да и вообще религиозной философии, объ</w:t>
      </w:r>
      <w:r>
        <w:rPr>
          <w:rFonts w:ascii="AG_Benguiat" w:hAnsi="AG_Benguiat"/>
          <w:sz w:val="28"/>
        </w:rPr>
        <w:softHyphen/>
        <w:t>являют выкладки Фомы по этому вопросу недосягаемым образцом. А отсюда — превалирование в писаниях официальных теологов и философов католичества сочинений комментаторского типа, содер</w:t>
      </w:r>
      <w:r>
        <w:rPr>
          <w:rFonts w:ascii="AG_Benguiat" w:hAnsi="AG_Benguiat"/>
          <w:sz w:val="28"/>
        </w:rPr>
        <w:softHyphen/>
        <w:t>жащих новые и новые догматические и апологетические разъяс</w:t>
      </w:r>
      <w:r>
        <w:rPr>
          <w:rFonts w:ascii="AG_Benguiat" w:hAnsi="AG_Benguiat"/>
          <w:sz w:val="28"/>
        </w:rPr>
        <w:softHyphen/>
        <w:t>нения того, что писал и что имел в виду Фома Аквинский. С дру</w:t>
      </w:r>
      <w:r>
        <w:rPr>
          <w:rFonts w:ascii="AG_Benguiat" w:hAnsi="AG_Benguiat"/>
          <w:sz w:val="28"/>
        </w:rPr>
        <w:softHyphen/>
        <w:t xml:space="preserve">гой стороны, признается необходимость как-то модернизировать стиль и методы доказательства Фомы. Что же именно следует принять и что следует отвергнуть? Тут нет единого ответа. </w:t>
      </w:r>
      <w:r>
        <w:rPr>
          <w:rFonts w:ascii="AG_Benguiat" w:hAnsi="AG_Benguiat"/>
          <w:sz w:val="28"/>
          <w:lang w:val="en-US"/>
        </w:rPr>
        <w:t>“</w:t>
      </w:r>
      <w:r>
        <w:rPr>
          <w:rFonts w:ascii="AG_Benguiat" w:hAnsi="AG_Benguiat"/>
          <w:sz w:val="28"/>
        </w:rPr>
        <w:t>Одни считают «несовременным» вслед за Фомой настаивать на том, что некоторые догмы христианства недоказуемы и полагают необходимым давать доказательства всех сколько-нибудь суще</w:t>
      </w:r>
      <w:r>
        <w:rPr>
          <w:rFonts w:ascii="AG_Benguiat" w:hAnsi="AG_Benguiat"/>
          <w:sz w:val="28"/>
        </w:rPr>
        <w:softHyphen/>
        <w:t>ственных принципов</w:t>
      </w:r>
      <w:r>
        <w:rPr>
          <w:rFonts w:ascii="AG_Benguiat" w:hAnsi="AG_Benguiat"/>
          <w:sz w:val="28"/>
          <w:lang w:val="en-US"/>
        </w:rPr>
        <w:t>”</w:t>
      </w:r>
      <w:r>
        <w:rPr>
          <w:rStyle w:val="a6"/>
          <w:rFonts w:ascii="AG_Benguiat" w:hAnsi="AG_Benguiat"/>
          <w:sz w:val="28"/>
          <w:lang w:val="en-US"/>
        </w:rPr>
        <w:footnoteReference w:id="12"/>
      </w:r>
      <w:r>
        <w:rPr>
          <w:rFonts w:ascii="AG_Benguiat" w:hAnsi="AG_Benguiat"/>
          <w:sz w:val="28"/>
        </w:rPr>
        <w:t>. Другие, напротив, склонны «освобо</w:t>
      </w:r>
      <w:r>
        <w:rPr>
          <w:rFonts w:ascii="AG_Benguiat" w:hAnsi="AG_Benguiat"/>
          <w:sz w:val="28"/>
        </w:rPr>
        <w:softHyphen/>
        <w:t>диться» от необходимости доказывать и те догмы, которые объ</w:t>
      </w:r>
      <w:r>
        <w:rPr>
          <w:rFonts w:ascii="AG_Benguiat" w:hAnsi="AG_Benguiat"/>
          <w:sz w:val="28"/>
        </w:rPr>
        <w:softHyphen/>
        <w:t>являл доказуемыми Фома и которые он, а также его после</w:t>
      </w:r>
      <w:r>
        <w:rPr>
          <w:rFonts w:ascii="AG_Benguiat" w:hAnsi="AG_Benguiat"/>
          <w:sz w:val="28"/>
        </w:rPr>
        <w:softHyphen/>
        <w:t>дователи пытались доказывать. Нет единства и в отношении того, как и в какой мере при решении вопроса о бытии бога исполь</w:t>
      </w:r>
      <w:r>
        <w:rPr>
          <w:rFonts w:ascii="AG_Benguiat" w:hAnsi="AG_Benguiat"/>
          <w:sz w:val="28"/>
        </w:rPr>
        <w:softHyphen/>
        <w:t xml:space="preserve">зовать данные современной науки. 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 Одни томисты пытаются поставить достижения современной науки на службу религии и полагают необходимым укрепить «союз веры и разума». Дру</w:t>
      </w:r>
      <w:r>
        <w:rPr>
          <w:rFonts w:ascii="AG_Benguiat" w:hAnsi="AG_Benguiat"/>
          <w:sz w:val="28"/>
        </w:rPr>
        <w:softHyphen/>
        <w:t>гие, напротив, видят путь усиления позиций веры и теологии в том, чтобы не заигрывать с разумом, а прямо апеллировать к «необъяснимому», «таинственному», «мистическому» в челове</w:t>
      </w:r>
      <w:r>
        <w:rPr>
          <w:rFonts w:ascii="AG_Benguiat" w:hAnsi="AG_Benguiat"/>
          <w:sz w:val="28"/>
        </w:rPr>
        <w:softHyphen/>
        <w:t>ческом опыте.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>По-разному решается и вопрос о том, на чем следует сде</w:t>
      </w:r>
      <w:r>
        <w:rPr>
          <w:rFonts w:ascii="AG_Benguiat" w:hAnsi="AG_Benguiat"/>
          <w:sz w:val="28"/>
        </w:rPr>
        <w:softHyphen/>
        <w:t>лать акцент в попытках — с учетом реалий современного мира — решать проблему бытия бога.</w:t>
      </w:r>
    </w:p>
    <w:p w:rsidR="008A4B0B" w:rsidRDefault="008A4B0B">
      <w:pPr>
        <w:spacing w:before="240"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Одни философы-томисты, поддерживая Фому, стремятся идти главным образом от истолкованных в соответствующем духе дан</w:t>
      </w:r>
      <w:r>
        <w:rPr>
          <w:rFonts w:ascii="AG_Benguiat" w:hAnsi="AG_Benguiat"/>
          <w:sz w:val="28"/>
        </w:rPr>
        <w:softHyphen/>
        <w:t>ных естествознания о строении мира, считают, что путь «космоло</w:t>
      </w:r>
      <w:r>
        <w:rPr>
          <w:rFonts w:ascii="AG_Benguiat" w:hAnsi="AG_Benguiat"/>
          <w:sz w:val="28"/>
        </w:rPr>
        <w:softHyphen/>
        <w:t>гических доказательств», как их именовали в истории мысли, особенно предпочтителен в наш век, когда познание мира в его космической целостности обладает в глазах людей таким боль</w:t>
      </w:r>
      <w:r>
        <w:rPr>
          <w:rFonts w:ascii="AG_Benguiat" w:hAnsi="AG_Benguiat"/>
          <w:sz w:val="28"/>
        </w:rPr>
        <w:softHyphen/>
        <w:t>шим авторитетом. И потому они связывают дальнейшее движе</w:t>
      </w:r>
      <w:r>
        <w:rPr>
          <w:rFonts w:ascii="AG_Benguiat" w:hAnsi="AG_Benguiat"/>
          <w:sz w:val="28"/>
        </w:rPr>
        <w:softHyphen/>
        <w:t>ние религиозной философии с более тщательной, чем у Фомы, работой над космологией, теорией познания, логикой. Другие философствующие томисты, возражая «космологам» и «гносеологам», стремятся в данном вопросе, как и в других во</w:t>
      </w:r>
      <w:r>
        <w:rPr>
          <w:rFonts w:ascii="AG_Benguiat" w:hAnsi="AG_Benguiat"/>
          <w:sz w:val="28"/>
        </w:rPr>
        <w:softHyphen/>
        <w:t>просах религиозного миросозерцания, выдвинуть на первый план проблему человека и тем самым актуализировать философско-антропологические моменты классического томистского на</w:t>
      </w:r>
      <w:r>
        <w:rPr>
          <w:rFonts w:ascii="AG_Benguiat" w:hAnsi="AG_Benguiat"/>
          <w:sz w:val="28"/>
        </w:rPr>
        <w:softHyphen/>
        <w:t>следия. Томистская философия в конечном счете отдала предпочтение последнему варианту и на этом пути претерпела «антропологическую» переориентацию. Почему «антропологиче</w:t>
      </w:r>
      <w:r>
        <w:rPr>
          <w:rFonts w:ascii="AG_Benguiat" w:hAnsi="AG_Benguiat"/>
          <w:sz w:val="28"/>
        </w:rPr>
        <w:softHyphen/>
        <w:t>ский поворот» происходит в религиозной философии именно в XX веке? В чем он выражается и как связан с традициями ре</w:t>
      </w:r>
      <w:r>
        <w:rPr>
          <w:rFonts w:ascii="AG_Benguiat" w:hAnsi="AG_Benguiat"/>
          <w:sz w:val="28"/>
        </w:rPr>
        <w:softHyphen/>
        <w:t>лигиозного миропонимания?</w:t>
      </w: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  <w:r>
        <w:rPr>
          <w:rFonts w:ascii="AG_Benguiat" w:hAnsi="AG_Benguiat"/>
          <w:b w:val="0"/>
          <w:sz w:val="28"/>
        </w:rPr>
        <w:t>6.«Поворот к человеку»: классическое и неклассическое в религиозной философии.</w:t>
      </w:r>
    </w:p>
    <w:p w:rsidR="008A4B0B" w:rsidRDefault="008A4B0B">
      <w:pPr>
        <w:pStyle w:val="FR1"/>
        <w:spacing w:line="360" w:lineRule="auto"/>
        <w:ind w:left="0" w:right="-19"/>
        <w:rPr>
          <w:rFonts w:ascii="AG_Benguiat" w:hAnsi="AG_Benguiat"/>
          <w:b w:val="0"/>
          <w:sz w:val="28"/>
        </w:rPr>
      </w:pPr>
    </w:p>
    <w:p w:rsidR="008A4B0B" w:rsidRDefault="008A4B0B">
      <w:pPr>
        <w:spacing w:before="200"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Проблема человека занимала заметное место в классической религиозной философии. Августин, Фома Аквинский и другие классики религиозной философии неизменно включали в свои фи</w:t>
      </w:r>
      <w:r>
        <w:rPr>
          <w:rFonts w:ascii="AG_Benguiat" w:hAnsi="AG_Benguiat"/>
          <w:sz w:val="28"/>
        </w:rPr>
        <w:softHyphen/>
        <w:t>лософские системы раздел о человеке. Вместе с тем догматически установленная религиозной идеологией иерархия ценностей (запечатленная в различных «священных» текстах и документах церквей, например христианских) никогда не отводила челове</w:t>
      </w:r>
      <w:r>
        <w:rPr>
          <w:rFonts w:ascii="AG_Benguiat" w:hAnsi="AG_Benguiat"/>
          <w:sz w:val="28"/>
        </w:rPr>
        <w:softHyphen/>
        <w:t>ку первое место. Теологи и философы христианства издавна объявляли его проблемой второстепенной по сравнению с вопро</w:t>
      </w:r>
      <w:r>
        <w:rPr>
          <w:rFonts w:ascii="AG_Benguiat" w:hAnsi="AG_Benguiat"/>
          <w:sz w:val="28"/>
        </w:rPr>
        <w:softHyphen/>
        <w:t>сами о боге, его существовании, богопознании.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pStyle w:val="a4"/>
        <w:spacing w:line="360" w:lineRule="auto"/>
      </w:pPr>
      <w:r>
        <w:t xml:space="preserve">   Что касается неотомизма наших дней, то в нем тенденции антропологизации получили довольно широкое распространение и пользуются поддержкой папы Иоанна Павла II, профессиональ</w:t>
      </w:r>
      <w:r>
        <w:softHyphen/>
        <w:t>ного философа, который в 70-е годы, еще будучи кардиналом К. Войтылой, написал книгу «Действующая личность». В свою очередь, антропологическая линия религиозной философии обнов</w:t>
      </w:r>
      <w:r>
        <w:softHyphen/>
        <w:t>ленческой ориентации покоится на тех формах отчасти реформи</w:t>
      </w:r>
      <w:r>
        <w:softHyphen/>
        <w:t xml:space="preserve">рованной религиозной философии, которые зародились в первой половине нашего столетия, а сейчас уже стали своего рода  «классикой». 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Если в свое время антропологические учения М. Шелера, Ж. Маритена, Г. Марселя, П. Тиллиха, Э. Мунье, Тейяра де Шардена принимались ортодоксами с опаской, а то и просто осуждались, то сегодня многие идеи названных философов широко используются сторонниками «антропологического пово</w:t>
      </w:r>
      <w:r>
        <w:rPr>
          <w:rFonts w:ascii="AG_Benguiat" w:hAnsi="AG_Benguiat"/>
          <w:sz w:val="28"/>
        </w:rPr>
        <w:softHyphen/>
        <w:t>рота» внутри религиозной мысли и вне ее.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center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>Заключение.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Безусловно, «антропологический поворот» в религиозной мысли представлен мыслителями, позиции которых различались и которые спорили друг с другом. Но в их взглядах есть и много общего. Мы и рассмотрим их в определенной типологической обобщенности.</w:t>
      </w:r>
    </w:p>
    <w:p w:rsidR="008A4B0B" w:rsidRDefault="008A4B0B">
      <w:pPr>
        <w:pStyle w:val="a4"/>
        <w:spacing w:line="360" w:lineRule="auto"/>
      </w:pPr>
    </w:p>
    <w:p w:rsidR="008A4B0B" w:rsidRDefault="008A4B0B">
      <w:pPr>
        <w:pStyle w:val="a4"/>
        <w:spacing w:line="360" w:lineRule="auto"/>
      </w:pPr>
      <w:r>
        <w:t xml:space="preserve">  «Антропологический поворот» связан с решимостью филосо</w:t>
      </w:r>
      <w:r>
        <w:softHyphen/>
        <w:t>фов-реформаторов в определенном смысле пересмотреть традици</w:t>
      </w:r>
      <w:r>
        <w:softHyphen/>
        <w:t>онную иерархию ценностей и проблем религиозной философии. Если традиционная религиозная философия сводила все во</w:t>
      </w:r>
      <w:r>
        <w:softHyphen/>
        <w:t>просы философии, включая и вопрос о человеке, к проблеме бога, то религиозная философская антропология XX века, как видим, ставит в центр именно широко понятую проблему человека. И хотя отношение человека к богу философы этого направления считают необходимым также «подтянуть к центру», все же переориентация по сравнению с религиозной классикой происходит заметная и не</w:t>
      </w:r>
      <w:r>
        <w:softHyphen/>
        <w:t>маловажная.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</w:rPr>
      </w:pPr>
      <w:r>
        <w:rPr>
          <w:rFonts w:ascii="AG_Benguiat" w:hAnsi="AG_Benguiat"/>
          <w:sz w:val="28"/>
        </w:rPr>
        <w:t xml:space="preserve">   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  <w:r>
        <w:rPr>
          <w:rFonts w:ascii="AG_Benguiat" w:hAnsi="AG_Benguiat"/>
          <w:sz w:val="28"/>
        </w:rPr>
        <w:t xml:space="preserve">  Происходят перемены и в том, как именно анализируется вопрос о человеке, какие ценности жизни и поведения людей выдвигаются на первый план. Меняется сам стиль обращения ре</w:t>
      </w:r>
      <w:r>
        <w:rPr>
          <w:rFonts w:ascii="AG_Benguiat" w:hAnsi="AG_Benguiat"/>
          <w:sz w:val="28"/>
        </w:rPr>
        <w:softHyphen/>
        <w:t>лигиозных мыслителей XX века к человеку. Правда, довольно часто они предпочитают — в соответствии с духом традициона-листского мышления — приглушать свое новаторство и делать вид, что только извлекают из теолого-философских традиций христианства внутренне заключенную в нем гуманистическую ориентацию. Для такого подхода есть определенные основания. За фасадом теоцентризма постоянно скрывался интерес к челове</w:t>
      </w:r>
      <w:r>
        <w:rPr>
          <w:rFonts w:ascii="AG_Benguiat" w:hAnsi="AG_Benguiat"/>
          <w:sz w:val="28"/>
        </w:rPr>
        <w:softHyphen/>
        <w:t>ку, его жизни, поведению, нравственности. Особенно характерен в этом отношении пример Августина, и не удивительно, что «ренессанс Августина» в XX веке стал мощным стимулом для переориентации в направлении философской антропологии.</w:t>
      </w: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center"/>
        <w:rPr>
          <w:rFonts w:ascii="AG_Benguiat" w:hAnsi="AG_Benguiat"/>
          <w:sz w:val="28"/>
        </w:rPr>
      </w:pPr>
      <w:r>
        <w:rPr>
          <w:rFonts w:ascii="AG_Benguiat" w:hAnsi="AG_Benguiat"/>
          <w:sz w:val="28"/>
          <w:lang w:val="en-US"/>
        </w:rPr>
        <w:t>C</w:t>
      </w:r>
      <w:r>
        <w:rPr>
          <w:rFonts w:ascii="AG_Benguiat" w:hAnsi="AG_Benguiat"/>
          <w:sz w:val="28"/>
          <w:lang w:val="uk-UA"/>
        </w:rPr>
        <w:t>писок литератур</w:t>
      </w:r>
      <w:r>
        <w:rPr>
          <w:rFonts w:ascii="AG_Benguiat" w:hAnsi="AG_Benguiat"/>
          <w:sz w:val="28"/>
        </w:rPr>
        <w:t>ы:</w:t>
      </w:r>
    </w:p>
    <w:p w:rsidR="008A4B0B" w:rsidRDefault="008A4B0B">
      <w:pPr>
        <w:spacing w:line="360" w:lineRule="auto"/>
        <w:ind w:right="-19"/>
        <w:jc w:val="center"/>
        <w:rPr>
          <w:rFonts w:ascii="AG_Benguiat" w:hAnsi="AG_Benguiat"/>
          <w:sz w:val="28"/>
        </w:rPr>
      </w:pPr>
    </w:p>
    <w:p w:rsidR="008A4B0B" w:rsidRDefault="008A4B0B">
      <w:pPr>
        <w:pStyle w:val="a5"/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Боргош Юзеф. Фома Аквинский М.,1975. – 504с.</w:t>
      </w:r>
    </w:p>
    <w:p w:rsidR="008A4B0B" w:rsidRDefault="008A4B0B">
      <w:pPr>
        <w:pStyle w:val="a5"/>
        <w:numPr>
          <w:ilvl w:val="0"/>
          <w:numId w:val="2"/>
        </w:numPr>
        <w:rPr>
          <w:sz w:val="28"/>
        </w:rPr>
      </w:pPr>
      <w:r>
        <w:rPr>
          <w:sz w:val="28"/>
        </w:rPr>
        <w:t>Чанышев А.Н. Курс лекций по древней и средневековой философии. М..1991.- 603с.</w:t>
      </w:r>
    </w:p>
    <w:p w:rsidR="008A4B0B" w:rsidRDefault="008A4B0B">
      <w:pPr>
        <w:pStyle w:val="a5"/>
        <w:numPr>
          <w:ilvl w:val="0"/>
          <w:numId w:val="2"/>
        </w:numPr>
        <w:rPr>
          <w:sz w:val="28"/>
        </w:rPr>
      </w:pPr>
      <w:r>
        <w:rPr>
          <w:sz w:val="28"/>
        </w:rPr>
        <w:t>Соколов В.В. Средневековая философия. М., 1979. – 623с.</w:t>
      </w:r>
    </w:p>
    <w:p w:rsidR="008A4B0B" w:rsidRDefault="008A4B0B">
      <w:pPr>
        <w:pStyle w:val="a5"/>
        <w:numPr>
          <w:ilvl w:val="0"/>
          <w:numId w:val="2"/>
        </w:numPr>
        <w:rPr>
          <w:sz w:val="28"/>
        </w:rPr>
      </w:pPr>
      <w:r>
        <w:rPr>
          <w:sz w:val="28"/>
        </w:rPr>
        <w:t>Гуревич А.Я. Средневековый мир. М., 1990. – 589с.</w:t>
      </w:r>
    </w:p>
    <w:p w:rsidR="008A4B0B" w:rsidRDefault="008A4B0B">
      <w:pPr>
        <w:pStyle w:val="a5"/>
        <w:numPr>
          <w:ilvl w:val="0"/>
          <w:numId w:val="2"/>
        </w:numPr>
        <w:rPr>
          <w:sz w:val="28"/>
        </w:rPr>
      </w:pPr>
      <w:r>
        <w:rPr>
          <w:sz w:val="28"/>
        </w:rPr>
        <w:t>Гуревич А.Я. Проблемы средневековой культуры. М., 1981. – 530с.</w:t>
      </w:r>
    </w:p>
    <w:p w:rsidR="008A4B0B" w:rsidRDefault="008A4B0B">
      <w:pPr>
        <w:pStyle w:val="a5"/>
        <w:rPr>
          <w:sz w:val="28"/>
        </w:rPr>
      </w:pPr>
    </w:p>
    <w:p w:rsidR="008A4B0B" w:rsidRDefault="008A4B0B">
      <w:pPr>
        <w:pStyle w:val="a5"/>
        <w:rPr>
          <w:sz w:val="28"/>
        </w:rPr>
      </w:pPr>
    </w:p>
    <w:p w:rsidR="008A4B0B" w:rsidRDefault="008A4B0B">
      <w:pPr>
        <w:pStyle w:val="a5"/>
        <w:rPr>
          <w:sz w:val="28"/>
        </w:rPr>
      </w:pPr>
    </w:p>
    <w:p w:rsidR="008A4B0B" w:rsidRDefault="008A4B0B">
      <w:pPr>
        <w:pStyle w:val="a5"/>
        <w:rPr>
          <w:sz w:val="28"/>
        </w:rPr>
      </w:pPr>
    </w:p>
    <w:p w:rsidR="008A4B0B" w:rsidRDefault="008A4B0B">
      <w:pPr>
        <w:pStyle w:val="a5"/>
        <w:rPr>
          <w:sz w:val="28"/>
        </w:rPr>
      </w:pPr>
    </w:p>
    <w:p w:rsidR="008A4B0B" w:rsidRDefault="008A4B0B">
      <w:pPr>
        <w:spacing w:line="360" w:lineRule="auto"/>
        <w:ind w:right="-19"/>
        <w:rPr>
          <w:rFonts w:ascii="AG_Benguiat" w:hAnsi="AG_Benguiat"/>
          <w:sz w:val="28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</w:p>
    <w:p w:rsidR="008A4B0B" w:rsidRDefault="008A4B0B">
      <w:pPr>
        <w:spacing w:line="360" w:lineRule="auto"/>
        <w:ind w:right="-19"/>
        <w:jc w:val="both"/>
        <w:rPr>
          <w:rFonts w:ascii="AG_Benguiat" w:hAnsi="AG_Benguiat"/>
          <w:sz w:val="28"/>
          <w:lang w:val="en-US"/>
        </w:rPr>
      </w:pPr>
      <w:bookmarkStart w:id="0" w:name="_GoBack"/>
      <w:bookmarkEnd w:id="0"/>
    </w:p>
    <w:sectPr w:rsidR="008A4B0B">
      <w:type w:val="continuous"/>
      <w:pgSz w:w="11900" w:h="16820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B0B" w:rsidRDefault="008A4B0B">
      <w:r>
        <w:separator/>
      </w:r>
    </w:p>
  </w:endnote>
  <w:endnote w:type="continuationSeparator" w:id="0">
    <w:p w:rsidR="008A4B0B" w:rsidRDefault="008A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_Benguiat">
    <w:altName w:val="Arial Unicode MS"/>
    <w:charset w:val="00"/>
    <w:family w:val="swiss"/>
    <w:pitch w:val="variable"/>
    <w:sig w:usb0="00000000" w:usb1="090E0000" w:usb2="00000010" w:usb3="00000000" w:csb0="001D009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B0B" w:rsidRDefault="008A4B0B">
      <w:r>
        <w:separator/>
      </w:r>
    </w:p>
  </w:footnote>
  <w:footnote w:type="continuationSeparator" w:id="0">
    <w:p w:rsidR="008A4B0B" w:rsidRDefault="008A4B0B">
      <w:r>
        <w:continuationSeparator/>
      </w:r>
    </w:p>
  </w:footnote>
  <w:footnote w:id="1">
    <w:p w:rsidR="008A4B0B" w:rsidRDefault="008A4B0B">
      <w:pPr>
        <w:pStyle w:val="a5"/>
        <w:rPr>
          <w:lang w:val="uk-UA"/>
        </w:rPr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>Боргош Юзеф. Фома Аквинский М.,1975. С. 123.</w:t>
      </w:r>
    </w:p>
  </w:footnote>
  <w:footnote w:id="2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>Боргош Юзеф. Фома Аквинский М.,1975. С. 34.</w:t>
      </w:r>
    </w:p>
  </w:footnote>
  <w:footnote w:id="3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lang w:val="en-US"/>
        </w:rPr>
        <w:t xml:space="preserve"> </w:t>
      </w:r>
      <w:r>
        <w:t>Соколов В.В. Средневековая философия. М., 1979. С. 78.</w:t>
      </w:r>
    </w:p>
    <w:p w:rsidR="008A4B0B" w:rsidRDefault="008A4B0B">
      <w:pPr>
        <w:pStyle w:val="a5"/>
      </w:pPr>
    </w:p>
  </w:footnote>
  <w:footnote w:id="4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>Боргош Юзеф. Фома Аквинский М.,1975. С. 111.</w:t>
      </w:r>
    </w:p>
  </w:footnote>
  <w:footnote w:id="5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>Боргош Юзеф. Фома Аквинский М.,1975. С. 68.</w:t>
      </w:r>
    </w:p>
  </w:footnote>
  <w:footnote w:id="6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Чанышев А.Н. Курс лекций по древней и средневековой философии. М..1991. С. 56.</w:t>
      </w:r>
    </w:p>
  </w:footnote>
  <w:footnote w:id="7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lang w:val="en-US"/>
        </w:rPr>
        <w:t xml:space="preserve"> </w:t>
      </w:r>
      <w:r>
        <w:t>Гуревич А.Я. Средневековый мир. М., 1990. С. 145.</w:t>
      </w:r>
    </w:p>
  </w:footnote>
  <w:footnote w:id="8">
    <w:p w:rsidR="008A4B0B" w:rsidRDefault="008A4B0B">
      <w:pPr>
        <w:pStyle w:val="a5"/>
        <w:rPr>
          <w:lang w:val="en-US"/>
        </w:rPr>
      </w:pPr>
      <w:r>
        <w:rPr>
          <w:rStyle w:val="a6"/>
        </w:rPr>
        <w:footnoteRef/>
      </w:r>
      <w:r>
        <w:t xml:space="preserve"> Чанышев А.Н. Курс лекций по древней и средневековой философии. М..1991. С. 201.</w:t>
      </w:r>
    </w:p>
  </w:footnote>
  <w:footnote w:id="9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>Боргош Юзеф. Фома Аквинский М.,1975. С. 145.</w:t>
      </w:r>
    </w:p>
  </w:footnote>
  <w:footnote w:id="10">
    <w:p w:rsidR="008A4B0B" w:rsidRDefault="008A4B0B">
      <w:pPr>
        <w:pStyle w:val="a5"/>
        <w:rPr>
          <w:lang w:val="en-US"/>
        </w:rPr>
      </w:pPr>
      <w:r>
        <w:rPr>
          <w:rStyle w:val="a6"/>
        </w:rPr>
        <w:footnoteRef/>
      </w:r>
      <w:r>
        <w:t xml:space="preserve"> Соколов В.В. Средневековая философия. М., 1979. С. 267.</w:t>
      </w:r>
    </w:p>
  </w:footnote>
  <w:footnote w:id="11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>Боргош Юзеф. Фома Аквинский М.,1975. С. 189.</w:t>
      </w:r>
    </w:p>
    <w:p w:rsidR="008A4B0B" w:rsidRDefault="008A4B0B">
      <w:pPr>
        <w:pStyle w:val="a5"/>
      </w:pPr>
    </w:p>
  </w:footnote>
  <w:footnote w:id="12">
    <w:p w:rsidR="008A4B0B" w:rsidRDefault="008A4B0B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>Боргош Юзеф. Фома Аквинский М.,1975. С. 304.</w:t>
      </w:r>
    </w:p>
    <w:p w:rsidR="008A4B0B" w:rsidRDefault="008A4B0B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80F10"/>
    <w:multiLevelType w:val="singleLevel"/>
    <w:tmpl w:val="2FE48F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185B066B"/>
    <w:multiLevelType w:val="singleLevel"/>
    <w:tmpl w:val="E40A1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G_Benguiat" w:hAnsi="AG_Benguia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461"/>
    <w:rsid w:val="000F4461"/>
    <w:rsid w:val="002D704F"/>
    <w:rsid w:val="008A4B0B"/>
    <w:rsid w:val="00B3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17D5D-090F-425F-91C1-A7BF76AF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spacing w:before="280"/>
      <w:ind w:left="2240" w:right="2200"/>
      <w:jc w:val="center"/>
    </w:pPr>
    <w:rPr>
      <w:rFonts w:ascii="Arial" w:hAnsi="Arial"/>
      <w:b/>
      <w:snapToGrid w:val="0"/>
    </w:rPr>
  </w:style>
  <w:style w:type="paragraph" w:customStyle="1" w:styleId="FR2">
    <w:name w:val="FR2"/>
    <w:pPr>
      <w:jc w:val="center"/>
    </w:pPr>
    <w:rPr>
      <w:rFonts w:ascii="Arial" w:hAnsi="Arial"/>
      <w:b/>
      <w:snapToGrid w:val="0"/>
      <w:sz w:val="16"/>
    </w:rPr>
  </w:style>
  <w:style w:type="paragraph" w:customStyle="1" w:styleId="FR3">
    <w:name w:val="FR3"/>
    <w:pPr>
      <w:jc w:val="both"/>
    </w:pPr>
    <w:rPr>
      <w:snapToGrid w:val="0"/>
      <w:sz w:val="12"/>
    </w:rPr>
  </w:style>
  <w:style w:type="paragraph" w:styleId="a3">
    <w:name w:val="Body Text Indent"/>
    <w:basedOn w:val="a"/>
    <w:semiHidden/>
    <w:pPr>
      <w:spacing w:line="220" w:lineRule="auto"/>
      <w:ind w:right="-19" w:firstLine="320"/>
      <w:jc w:val="both"/>
    </w:pPr>
    <w:rPr>
      <w:rFonts w:ascii="AG_Benguiat" w:hAnsi="AG_Benguiat"/>
      <w:sz w:val="28"/>
    </w:rPr>
  </w:style>
  <w:style w:type="paragraph" w:styleId="a4">
    <w:name w:val="Body Text"/>
    <w:basedOn w:val="a"/>
    <w:semiHidden/>
    <w:pPr>
      <w:ind w:right="-19"/>
      <w:jc w:val="both"/>
    </w:pPr>
    <w:rPr>
      <w:rFonts w:ascii="AG_Benguiat" w:hAnsi="AG_Benguiat"/>
      <w:sz w:val="28"/>
    </w:rPr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3951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IV</vt:lpstr>
    </vt:vector>
  </TitlesOfParts>
  <Company>Rodnik-UT</Company>
  <LinksUpToDate>false</LinksUpToDate>
  <CharactersWithSpaces>26420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IV</dc:title>
  <dc:subject/>
  <dc:creator>tsu</dc:creator>
  <cp:keywords/>
  <cp:lastModifiedBy>Irina</cp:lastModifiedBy>
  <cp:revision>2</cp:revision>
  <dcterms:created xsi:type="dcterms:W3CDTF">2014-09-07T15:43:00Z</dcterms:created>
  <dcterms:modified xsi:type="dcterms:W3CDTF">2014-09-07T15:43:00Z</dcterms:modified>
</cp:coreProperties>
</file>