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9DA" w:rsidRPr="00F20B40" w:rsidRDefault="00AB19DA" w:rsidP="00AB19DA">
      <w:pPr>
        <w:spacing w:before="120"/>
        <w:jc w:val="center"/>
        <w:rPr>
          <w:b/>
          <w:bCs/>
          <w:sz w:val="32"/>
          <w:szCs w:val="32"/>
        </w:rPr>
      </w:pPr>
      <w:r w:rsidRPr="00F20B40">
        <w:rPr>
          <w:b/>
          <w:bCs/>
          <w:sz w:val="32"/>
          <w:szCs w:val="32"/>
        </w:rPr>
        <w:t>“Габитус” в структуре социологической теории</w:t>
      </w:r>
    </w:p>
    <w:p w:rsidR="00AB19DA" w:rsidRPr="00F20B40" w:rsidRDefault="00AB19DA" w:rsidP="00AB19DA">
      <w:pPr>
        <w:spacing w:before="120"/>
        <w:jc w:val="center"/>
        <w:rPr>
          <w:sz w:val="28"/>
          <w:szCs w:val="28"/>
        </w:rPr>
      </w:pPr>
      <w:r w:rsidRPr="00F20B40">
        <w:rPr>
          <w:sz w:val="28"/>
          <w:szCs w:val="28"/>
        </w:rPr>
        <w:t>Н.А. Шматко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“Одна из функций понятия “габитус” состоит в указании на единство стиля, который объединяет практики и блага какого-либо единичного агента или класса агентов... Габитус - это порождающее и унифицирующее начало, которое сводит собственные внутренние и реляционные характеристики какой-либо позиции в единый стиль жизни, т. е. в единый ансамбль выбора людей, благ и практик.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Как и позиции, продуктом которых они являются, габитусы дифференцированы, но они также и дифференцируют. Отличающие и дистанцированные, они сами есть операторы различений: они приводят в действие различные принципы дифференциации или используют различным образом общие ее принципы.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Габитусы являются порождающими принципами практик - различительных и различающих: что ест рабочий и особенно его манера есть, спорт, которым он занимается и его манера им заниматься, политические мнения и его манера выражать их - различают систематическим образом потребление и соответствующие практики рабочего и хозяина промышленного предприятия; здесь же различные схемы классификации, основания классификации, принципы видения и деления, вкусы. Однако одно и то же поведение или одно и то же благо может казаться утонченным для одних, претенциозным или “вычурным” для других и вульгарным для третьих..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Но главное в том, что когда они воспринимаются через эти социальные категории перцепции, т. е. принципы видения и деления, то различия в практиках и имеющихся благах, а также выражаемые мнения становятся символическими различиями и образуют, по сути, своего рода язык. Различия, ассоциирующиеся с различными позициями, т. е. блага, практики и, особенно, манеры функционируют в любом обществе как основополагающие различия символической системы, как ансамбль фонем языка или совокупность различительных черт и дифференциальных расхождений, являющихся конститутивными для данной мифической системы, т. е. функционируют как знаки различия” [1, с. 23–24].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Теоретической основой социологии П. Бурдье является концепция “двойного структурирования”, суть которой кратко может быть выражена в тезисе: социальная действительность структурирована, во-первых, со стороны социальных отношений, объективированных в распределениях разнообразных ресурсов (капиталов) как материального, так и нематериального характера, и, во-вторых, со стороны представлений людей о данных отношениях и об окружающем мире, оказывающих обратное воздействие. Наряду с детерминацией со стороны объективных структур, П. Бурдье вводит в анализ детерминацию со стороны исторических агентов и уточняет, что эта “...диалектика структур и действий эквивалентна диалектике объективных и инкорпорированных структур, что совершается в любом практическом действии” [2, с. 70]. Социальные отношения, интериоризируясь в ходе практической деятельности, превращаются в “практические схемы” (схемы производства практик) - инкорпорированные структуры. Последние в свою очередь обусловливают экстериоризацию породивших их объективных структур, заключающуюся в воспроизводстве практик агентами.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Концепция двойного структурирования включает два ряда детерминаций, отражающих, с одной стороны, генезис, с другой - структуру социальной действительности.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К первому относится установление причинно-следственных связей: существуют объективные (независящие от воли и сознания людей) структуры, которые воздействуют на практики, восприятие и мышление индивидов, именно они являются “конечными причинами” практик и представлений индивидуальных и коллективных агентов. С другой стороны, агентам имманентно присуща активность, именно они - источник непрерывных воздействий на социальную действительность.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Итак, социальные структуры обусловливают практики и представления агентов, но агенты производят практики и тем самым воспроизводят и/или преобразуют структуры. Эти моменты генезиса социальной действительности для П. Бурдье, однако, отнюдь не равнозначны и не рядоположены. Он не ограничивается констатацией того, что они находятся в “диалектической связи”, но подчеркивает их иерархию. Обусловленность практик и представлений социальными структурами реализуется через их производство и воспроизводство агентами. В силу того, что они не могут осуществлять свои практики вне и независимо от “предпосланных” им объективных структур, являющихся необходимыми условиями и предпосылками любых практик (как в объективированной форме предметов и средств практик, так и в субъективированной - в виде диспозиций, знаний, навыков и т. д.), агенты могут действовать исключительно “внутри” уже существующих социальных отношений и, тем самым, лишь репродуцировать или трансформировать их. Говоря об активной роли агентов в воспроизводстве и производстве социальной действительности, П. Бурдье подчеркивает, что оно невозможно без инкорпорированных структур - практических схем (схем порождения практик - “принципов, предписывающих порядок действия”, и, в первую очередь, принципов классификации, принципов восприятия деления социальной действительности [3, с. 121]), являющихся продуктом интериоризации объективных социальных структур. Поэтому субъективное структурирование социальной действительности есть всегда подчиненный момент.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Второй аспект двойного структурирования социальной действительности - структурный: во-первых, социальные отношения неравномерно распределены в пространстве и во времени, во-вторых, агенты неравномерно распределены между социальными отношениями - не все агенты (индивидуальные или коллективные) и не в одно и то же время принимают участие в одних и тех же социальных отношениях, в-третьих, неравномерно распределены между ними и объективации социальных отношений, которые П. Бурдье называет капиталами, в-четвертых, инкорпорированные социальные отношения (диспозиции, социальные представления, практические схемы) также распределены крайне неравномерно: агенты, исходя из своих практических схем (интериоризированных социальных отношений), по-разному структурируют социальную действительность. Вместе с тем, структура субъективного структурирования, проявляющаяся через распределение его различных видов между агентами, подобна структуре объективного структурирования, ибо решающую роль в субъективном структурировании играют интериоризированные объективные структуры: практические схемы адаптируются к позиции агента уже хотя бы в силу того, что их содержание обусловлено предшествующей символической борьбой и поэтому, пусть в превращенной форме, отражает конфигурацию символических сил. </w:t>
      </w:r>
    </w:p>
    <w:p w:rsidR="00AB19DA" w:rsidRPr="00F20B40" w:rsidRDefault="00AB19DA" w:rsidP="00AB19DA">
      <w:pPr>
        <w:spacing w:before="120"/>
        <w:jc w:val="center"/>
        <w:rPr>
          <w:b/>
          <w:bCs/>
          <w:sz w:val="28"/>
          <w:szCs w:val="28"/>
        </w:rPr>
      </w:pPr>
      <w:r w:rsidRPr="00F20B40">
        <w:rPr>
          <w:b/>
          <w:bCs/>
          <w:sz w:val="28"/>
          <w:szCs w:val="28"/>
        </w:rPr>
        <w:t xml:space="preserve">Габитус как структурирующая структура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Итак, объективные структуры являются условиями и предпосылками осуществления субъективных практик (восприятия, представления, мышления, коммуникации, действия) и “системно детерминируют” непосредственные социальные взаимодействия. Однако для того чтобы эти практики реализовывались, социальные структуры должны быть интериоризированы, эффективно усвоены, присвоены и даже инкорпорированы агентами, которые активно “конструируют” свое восприятие, выражение и оценивание социальной реальности, свои коммуникации и т. п. Отношения интериоризируются в форме социально структурированных ансамблей практических схем (схем производства практик агентом) или инкорпорированных структур - “габитусов” (габитус - от лат. habitus - свойство, состояние, положение), предрасположенных функционировать как структурирующие структуры, порождающие практики и представления.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“Габитус как структурирующая структура (которая организует практики и их восприятие) есть также и структурированная структура: принцип деления на логические классы, организующий восприятие социального мира, сам является продуктом инкорпорации деления на социальные классы. ...Наиболее основополагающие оппозиции структуры состояний (высокий/низкий, богатый/бедный и т. п.) стремятся навязать себя в качестве фундаментальных принципов структурирования практик и восприятия этих практик. ...Стили жизни также являются систематическими продуктами габитусов, которые, будучи восприняты в взаимосвязях в соответствии со схемами габитуса, становятся системами социально квалифицированных знаков (например, “утонченный”, “вульгарный” и т. п.). Диалектика состояний и габитусов лежит в основе алхимии, трансформирующей распределение капитала как итога отношения сил - в систему воспринимаемых различий, отличающих свойств, т. е. в распределение символического капитала, т. е. легитимного капитала, непризнанного в своей объективной истине” [4, p. 191–192].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Определяя габитус через систему диспозиций восприятия, оценивания и действия, П.Бурдье употребляет термин “диспозиция” в смысле, близком к пониманию его у Г. Олпорта: предрасположенность агента к поведенческому акту, действию, поступку и их последовательности, или осознанная готовность к оцениванию ситуации и к поведению, обусловленному предшествующим опытом. Однако в основе формирования габитуса лежат не только потребности, как в случае диспозиций, но и “характерологические структуры определенного класса условий существования, т. е. экономическая и социальная необходимость и семейные связи, или точнее, чисто семейные проявления этой необходимости...” [5, с. 50].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В понятии “габитус” важно не то, что он может быть представлен в качестве системы диспозиций (в таком случае “габитус” ничего не прибавлял бы к социологическому знанию), а то, что он выполняет роль “посредника” между “социальными отношениями” и “агентом”. П. Бурдье не дает дефиницию “габитусу” через систему диспозиций, но просто соотносит его с нею, чтобы продемонстрировать место “габитуса” в ряду имеющихся социологических понятий. Габитус определяется своим происхождением - тем, что он есть интериоризированный ансамбль социальных отношений, а также своим положением в системе производства практик - тем, что он является одновременно результатом интериоризации (объективных) социальных отношений и необходимым субъективным условием практик агентов, отсюда следует, что габитус делает возможным экстериоризацию интериоризированного, т. е. служит порождающим механизмом практик. Таким образом, сущность габитуса заключается в том, что он, во-первых, продукт интериоризации объективных социальных структур и, во-вторых, - необходимое индивидуальное условие их экстериоризации. Габитус - необходимая инстанция, опосредующая включение агента в социальные отношения и порождающая практики на основе двуединого процесса интериоризации/экстериоризации.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Поскольку “габитус” рассматривается в качестве порождающего механизма практик, его эмпирическое изучение не требует выделения в нем самостоятельных смысловых частей. В этом состоит его основное отличие от таких понятий, как “менталитет” или “диспозиции”. Когда мы изучаем диспозиции или менталитет, мы должны всякий раз, говоря словами А.Н.Леонтьева, выделять молярную единицу действия и соответственно - атомарную, далее неразложимую диспозицию (предполагается функциональное соответствие между диспозицией и действием). Это создает эмпирические сложности, которые нашли отражение в концепции диспозиционной регуляции личности В. А. Ядова, устанавливающей текучее структурирование системы диспозиций и изменение содержания диспозиций от уровня к уровню. Выход из неразрешимой ситуации изучения по сути трансцендентных состояний “внутреннего плана субъекта”, описываемых суждениями исследователя, - именно таковыми являются диспозиции, - обычно находится на пути установления конвенций относительно допустимых интерпретаций результатов измерения достаточно произвольно выбранных “наблюдаемых переменных”.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Принципиальным моментом исследования габитуса является то, что он может (и должен) быть проанализирован как целостное явление и рассмотрен через подвижную систему различий габитусов агентов, занимающих различные позиции в социальном пространстве, без “атомистической”, разлагающей редукции. Такой ход мысли не исключает того, что в габитусе можно выделять функциональные сегменты, такие как “этос” и “экзис”, а также исследовать его в диахронном плане: первичный и вторичный габитус, или в форме социологических обобщений: классовый и групповой габитус.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Габитус - это не эпифеномен практик, а механизм их порождения, который определяется генетически через двуединый процесс интериоризации/экстериоризации социальных отношений, он - та “клетка”, из которой вырастает многообразие практик агента. Таким образом, можно сказать, что, с одной стороны, габитус есть повседневное социальное отношение, в которое практически вступает каждый (экстериоризация /интериоризация), а с другой - порождающая основа практик любого агента. </w:t>
      </w:r>
    </w:p>
    <w:p w:rsidR="00AB19DA" w:rsidRPr="00F20B40" w:rsidRDefault="00AB19DA" w:rsidP="00AB19DA">
      <w:pPr>
        <w:spacing w:before="120"/>
        <w:jc w:val="center"/>
        <w:rPr>
          <w:b/>
          <w:bCs/>
          <w:sz w:val="28"/>
          <w:szCs w:val="28"/>
        </w:rPr>
      </w:pPr>
      <w:r w:rsidRPr="00F20B40">
        <w:rPr>
          <w:b/>
          <w:bCs/>
          <w:sz w:val="28"/>
          <w:szCs w:val="28"/>
        </w:rPr>
        <w:t xml:space="preserve">Концепция габитуса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Габитус есть структурированная система диспозиций - система действия, восприятия, мышления, оценивания и выражения, - предрасположенная функционировать как структурирующая структура. В качестве таковой габитус генерирует и структурирует практики и представления так, что они оказываются объективно адаптированными к системе социальных отношений, продуктом которой, впрочем, он является. На этом основан эффект его гистерезиса (отставания, запаздывания): какое-то время после того, как социальные отношения изменились (или агент занял другую позицию в них), агент по-прежнему воспроизводит старые социальные отношения, продуктом которых является его габитус. Иными словами, габитус сохраняет постоянство в изменении, тем самым сообщая практикам свойства непрерывности и упорядоченности. “Будучи внутренним опытом, через который непрерывно осуществляется закон внешней необходимости, несводимой к непосредственному конъюнктурному принуждению, габитус обеспечивает активное присутствие прошлого опыта, который, существуя... в виде схем восприятия, мышления и действия, дает более убедительную гарантию тождества и постоянства практик во времени, чем все формальные правила и явным образом сформулированные нормы” [1, с. 91].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Габитус функционирует как порождающий механизм, способный спонтанно производить в большинстве социальных ситуаций практики, выражающие один общий принцип. Иначе говоря, габитус систематическим образом проявляется во всех практиках агентов, его схемы переносимы из одной сферы в другую. Систематизируя практики агентов, габитус задает им относительное внутреннее единство, нечто вроде самосогласованности, когерентности, некий стиль.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Сказать, что габитус есть место интериоризации внешнего и экстериоризации внутреннего [6, с. 175] или продукт истории, производящий практики в соответствии со схемами, порожденными историей [с. 185], все равно что в более привычных выражениях сказать: габитус есть воспроизводство внешних социальных структур под видом внутренних структур личности. В процессе интериоризации, которая есть не что иное, как практическое освоение принципов производства практик, не достигающее дискурсивного и рефлективного уровней, агент имитирует практики других агентов; он не овладевает “рефлективными моделями” практик, а присваивает modus operandi посредством как простого ознакомления и повторения чужих практик, так и посредством скрытых и/или явных, бессознательных и/или методически организованных внушений (разнообразных “педагогических воздействий”) принципов, которые проявляются практически в навязанных практиках и/или сформулированы явно, формализованы [5, с. 62; 6, c. 189]. При всей внешней самопроизвольности, имитации практик других агентов и многообразные формы внушения представляют собой структурированные упражнения, передающие тот или иной способ действий, ту или иную точку зрения, систему диспозиций [6, с. 191]. Интериоризируется логика функционирования системы социальных различий, и потому интериоризировать - значит, обрести способность спонтанно воспроизводить в своих практиках, представлениях и т. п. социальные отношения, существовавшие на момент интериоризации. В этом кроется одна из основных причин, по которой наличный социальный порядок поддерживается сравнительно долго и довольно просто.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Важнейшим моментом интериоризации является инкорпорация - воплощение социальных отношений в теле агента в виде его устойчивых диспозиций определенным образом говорить, ходить, чувствовать, держать спину и т. п.: “Если все общества... придают такое значение внешним, казалось бы, самым незначительным деталям поведения, ухода за собой, манерам... и речи, то это объясняется тем, что, рассматривая тело как память, общества доверяют ему в конспективной и практической, т. е. мнемотехнической форме, фундаментальные принципы культурного произвола” [6, с. 197].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Как и социализация, формирование габитуса в процессе интериоризации социальных отношений осуществляется в несколько этапов: первичный габитус, сложившийся в семье, служит основой восприятия и усвоения школьного образования; вторичный (школьный) габитус выступает условием и предпосылкой восприятия и оценивания сообщений СМИ и т. д. Иными словами, логика интериоризации превращает габитус в хронологически упорядоченное множество диспозиций, в “некую структуру определенного ранга”, которая уточняет границы структуры низшего ранга (генетически предшествующие) и структурирует структуры высшего “посредством структурирующего действия, оказываемого на структурированный опыт, порождающий эти структуры” [6, с. 188].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Практики, обязанные своей специфической формой законам, свойственным каждому из полей социального пространства, суть продукт диалектической связи между социальными ситуациями и габитусом. Габитус производит в различных полях практики, воспроизводящие законы этих полей. Он может реализовывать один стиль в разных полях тем полнее, чем более исчерпывающе воспроизводятся в производимых им практиках принципы культурного произвола той или иной социальной группы [5, c. 178].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Чтобы объяснить практики агента, социологу надлежит реконструировать связь между теми социальными отношениями, интериоризацией которых он является, и теми, в контексте которых он производит практики. Габитус выступает в роли “практического смысла” и, взаимодействуя с социальными отношениями, воспроизводит объективированные в них смысловые структуры; условием такой актуализации является трансформация самих социальных отношений [2, c. 97]. Именно непредзаданное, непредустановленное взаимодействие габитуса как системы когнитивных и мотивационных структур с непрерывно меняющимися социальными отношениями детерминирует интересы, лежащие в основе перехода к практике, в которой реализуются и которая обусловливает диспозиции [6, c. 206]. Габитус есть порождающий практики принцип, подчиняющийся “практической логике” - логике неопределенности и приблизительности, свойственной повседневности. Поэтому ему присущи неопределенность и открытость, неуверенность и экспромт.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С одной стороны, как совокупность практических схем видения и деления социальной действительности, принципов практической (не-теоретической, обыденной) классификации, габитус представляет собой “практическое чувство”. С другой, как совокупность интериоризированных схем восприятия и оценивания, мышления и выражения, он придает упорядоченной импровизации непреднамеренную изобретательность, использующую в качестве точек отсчета и опоры готовые “формулы”, такие, как бинарные оппозиции различий: форма/содержание, главное/второстепенное, центр/периферия, высокое/низкое... [6, c. 182]. Габитус стремится элиминировать непредвиденные, случайные обстоятельства из любой социальной ситуации, с которой он сталкивается, переформулируя ее в задачу, принципом решения которой он является.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Иными словами, габитус - это способность свободно производить на практике усвоенные схемы восприятия, мысли, коммуникации, действия... В то же время габитус устанавливает и жесткие рамки, ограничения этой производительной способности: социальные отношения, продуктом которых он является, управляют практиками - не в духе лапласовского детерминизма, а посредством изначально заданных принуждений и ограничений его изобретательности. Габитус не допускает “...ни создания чего-либо невиданно нового, ни простого механического воспроизводства изначально заданного” [2, c. 92]. С точки зрения концепции габитуса “...агенты никогда не бывают свободны, но никогда иллюзия свободы (или отсутствия принуждения) не бывает столь полной, как в случае, когда они действуют, следуя схемам своего габитуса, т. е. объективным структурам, продуктом которых является сам габитус: в этом случае агенты ощущают принуждение не более, чем тяжесть воздуха” [6, c. 182].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Интериоризированные диспозиции в отношении возможного и невозможного, свободы и необходимости, разрешений и запретов, заключенных в социальных отношениях, порождают диспозиции, объективно совместимые с данными отношениями и заранее адаптированные к их требованиям. При этом наиболее невероятные практики исключаются как немыслимые еще до какого-либо рассмотрения путем непосредственного подчинения социальному порядку, подчинения, принуждающего отказываться от невозможного и желать неминуемого.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Составляющие габитус диспозиции (практические схемы), производя адаптированные к социальным отношениям практики (продуктом которых они являются), осуществляют производство/воспроизводство социальных отношений. Однако габитус воспроизводит в любой момент времени именно ту систему социальных отношений, результатом которой он является; поэтому практики, порожденные габитусом, a priori адаптированы к социальным условиям лишь в той мере, в какой они остались похожими на те условия, в которых габитус сформировался. Поскольку диспозиции габитуса устойчивы и могут быть более долговечными, нежели социальные отношения их собственного производства, постольку габитус генерирует дезадаптированные практики всякий раз, когда условия его функционирования слишком удаляются от породивших его условий. В этом случае практики, соответствовавшие уже не существующим социальным условиям, оказываются объективно неприспособленными к условиям настоящего.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Интериоризированные и инкорпорированные диспозиции являются одновременно осознанными и бессознательными. При этом “вопрос отношения между сознанием и бессознательным затемняет более важный вопрос об отношении между схемами, порождающими практики, и представлениями, которые агенты выстраивают о своей практике” [6, с. 204].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Как заметил Э. Дюркгейм, в каждом из нас живет “вчерашний человек”, поскольку настоящее лишь в незначительной мере сравнимо с прошлым, откуда мы родом и в котором мы сформировались. Мы не рефлектируем прошлое, так как оно инкорпорировано в нас, составляет наше бессознательное. Вследствие этого мы не предрасположены принимать во внимание его законные притязания на руководство нашим поведением, восприятием и т. д. И наоборот, самые последние социальные установления мы ощущаем очень остро, поскольку они еще не превратились в наше бессознательное. Подобно этому габитус есть история, “ставшая природой”, и тем самым отрицаемая в качестве таковой [6, с. 204]: диспозиции, составляющие габитус, по большей части неосознаны. Это бессознательное есть память, которую производит сама история, воспроизводя социальные отношения в псевдоприродах, каковыми и являются габитусы - габитус “...является бессознательным в том смысле, что его генезис включает в себя амнезию этого генезиса. Габитус является бессознательным и в том смысле, что вне сознания оказываются инкорпорированные ценности, ставшие телом, - вследствие транссубстанциональности, которую производит потаенная убедительность скрытого педагогического воздействия, способного внушить целую космологию, этику, метафизику, политику с помощью столь незначительных предписаний, как, например, “держись прямо”” [6, c.204].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В результате язык и тело наводнены “кристаллизовавшимися” социальными представлениями. Практики производятся габитусом “автоматически”, без участия сознания, но, тем не менее, им всегда сопутствует некая доля рефлексии хотя бы в виде оценки или минимального участия, необходимого для контроля над функционированием этих автоматизмов (например, в виде дискурса рационализации). Это частичное осознание, колеблющееся от постоянного присутствия сознания до его постоянного отсутствия, является непременным элементом здравого смысла и помещается где-то между “естественным светом разума” и тьмой бессознательного.*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“Если габитус владеет агентами в большей степени, чем они сами им владеют, то это, прежде всего, потому, что они владеют габитусом лишь в том его качестве, в каком он действует в них как принцип организации их действий, т. е. в форме, в которой они в то же время не владеют им в символической форме” [6, с. 202].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Переход от практического освоения к символическому предполагает некоторое расхождение между социальными условиями производства практик и социальными условиями производства габитуса, при котором спонтанные ответы габитуса оказываются неприспособленными к ситуации, и тогда встает вопрос не столько об отношении между сознанием и бессознательным, сколько об отношении между практическими схемами, порождающими практики, и представлениями, которые выстраивают о них агенты. Самые основополагающие принципы производства практик могут оставаться в неявной форме, пока они действуют сами по себе, но их превосходство исчезает, как только ставится вопрос о том, может ли оно себя обосновать, т. е. как только столкновение различных способов “убеждения” вынуждает проговаривать то, что понятно без слов, доказывать то, что само собой разумеется, и конституировать в долженствующее-быть и долженствующее-делать то, что переживается как единственный способ быть и делать, и, следовательно, воспринимать как основанное на произвольной институции закона то, что, казалось бы, вписано в саму “природу вещей” [6, с.199]. </w:t>
      </w:r>
    </w:p>
    <w:p w:rsidR="00AB19DA" w:rsidRPr="00F20B40" w:rsidRDefault="00AB19DA" w:rsidP="00AB19DA">
      <w:pPr>
        <w:spacing w:before="120"/>
        <w:jc w:val="center"/>
        <w:rPr>
          <w:b/>
          <w:bCs/>
          <w:sz w:val="28"/>
          <w:szCs w:val="28"/>
        </w:rPr>
      </w:pPr>
      <w:r w:rsidRPr="00F20B40">
        <w:rPr>
          <w:b/>
          <w:bCs/>
          <w:sz w:val="28"/>
          <w:szCs w:val="28"/>
        </w:rPr>
        <w:t xml:space="preserve">Габитус и социальная солидарность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Социологически сконструированный агент определяется, помимо прочего, своей социальной траекторией. Бесконечное множество комбинаций социальных детерминаций траектории агента, несводимость временной серии позиций в социальных отношениях к другим и т. д. обеспечивает единичность габитуса агента. Структуры габитуса, произведенные прошлым опытом агента, постоянно структурирует его новый опыт; в свою очередь, новый опыт трансформирует его исходные структуры. Таким образом габитус реализует уникальную интеграцию, зависящую от хронологически упорядоченного опыта, определяемого социальной траекторией агента [2, с. 101–102].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Однако уникальность этих социальных траекторий относительна: их можно сгруппировать так же, как объединяют агентов в социальные группы “на бумаге” - статистически. “Группе по траекториям” соответствует множество агентов, которые в среднем (т. е. статистически) имеют больше шансов пережить одни и те же социальные ситуации и события в одном и том же хронологическом порядке, чем агенты, соотнесенные с другой “группой по траекториям”. Легко видеть, что если социальная группа сконструирована социологом адекватно, то она совпадает с “группой по траекториям”, поскольку индивиды из одной и той же социальной группы будут гораздо чаще попадать в одни и те же ситуации, нежели индивиды из разных групп. Поэтому отношения между габитусами агентов, принадлежащих к одной социальной группе, можно представить как отношение гомологии - разнообразия в сходстве - социальных условий становления габитусов [2, с. 101]. Эта гомология выражает тот фундаментальный факт, что социальная траектория агента есть не что иное, как частный случай социальной траектории его группы, а индивидуальные габитусы представляют собой вариации группового габитуса.**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В качестве системы практических схем (диспозиций), т. е. схем восприятия, оценивания, мышления и действия, габитус является “порождающей основой” практик, выступая в качестве более или менее устойчивого, более или менее полного принципа объективного согласования практик агента или группы агентов. При отсутствии видимого принуждения или желания отдельных агентов, принадлежащих к одной группе, габитус гармонизирует, делает их практики “осмысленными” или “разумными”, связанными просто потому, что в идентичных социальных условиях производятся схожие системы практических схем. Следовательно, габитус представляет собой, во-первых, условие согласования практик агентов, относящихся к одной группе, при отсутствии какой-либо самопроизвольной или навязанной организации индивидуальных практических схем,*** и, во-вторых, является самой практикой согласования.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У агентов, обладающих одинаковым габитусом, не возникает нужды в согласовании для того, чтобы действовать аналогичным образом, например, когда речь идет о выборе супруга, профессии, депутата, мебели и т. п. Каждый прислушивается к своему “личному вкусу”, реализуя свой “индивидуальный проект”, спонтанно согласуясь при этом с тысячами других агентов, которые воспринимают, оценивают, думают и действуют так же, как он. Конечно, коллективные практики тоже отчасти управляемы и систематизированы общими эксплицитными планами, сознательно даваемыми и получаемыми указаниями, приказами, решениями, выработанными совместно. Но в основном коллективные практики обязаны своей связанностью и единством эффекту габитуса. Именно он составляет для агентов, находящихся в сходных социальных условиях, одновременно и принцип, производящий спонтанные, классифицирующие и классифицируемые практики, и принцип классификации практик других агентов.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Существование сходных габитусов может объяснить все феномены спонтанной гармонизации практик агентов, занимающих одну и ту же социальную позицию, к примеру, ситуацию более или менее интенсивного эмоционального согласия (или несогласия), а также солидарности, которая обозначается различиями симпатия/антипатия, привлекательность/отвращение, дружба/вражда, любовь/ненависть, идентичность/отчуждение... Можно, кстати, повседневно наблюдать систематическое соответствие характеристик агентов, которые завязывают избирательные связи. Это происходит потому, что габитус позволяет агенту осознавать и спонтанно оценивать с точки зрения социальной группы личность любого другого. Таким образом, любой агент, с которым мы находимся во взаимодействии, тут же оказывается классифицированным, но не в настоящих - точных, выявленных, рациональных - социологических категориях, а в своеобразных рубриках, которые, если их сознательно сформулировать, могли бы выглядеть так: “Этот человек не моего круга”, или наоборот: “Мы из одной песочницы”. Отношение к другому есть, по сути, коммуникация габитуса с габитусом, связь скорее практическая, нежели интеллектуально воспроизводимая. Именно из этой связи вырастает солидарность, оформляющая социальные группы. </w:t>
      </w:r>
    </w:p>
    <w:p w:rsidR="00AB19DA" w:rsidRPr="00F20B40" w:rsidRDefault="00AB19DA" w:rsidP="00AB19DA">
      <w:pPr>
        <w:spacing w:before="120"/>
        <w:jc w:val="center"/>
        <w:rPr>
          <w:b/>
          <w:bCs/>
          <w:sz w:val="28"/>
          <w:szCs w:val="28"/>
        </w:rPr>
      </w:pPr>
      <w:r w:rsidRPr="00F20B40">
        <w:rPr>
          <w:b/>
          <w:bCs/>
          <w:sz w:val="28"/>
          <w:szCs w:val="28"/>
        </w:rPr>
        <w:t xml:space="preserve">Примечания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“Все происходит так, как если бы агенты тем меньше нуждались в сознательном освоении принципов, которые склоняют их воспринимать, представлять и действовать в соответствии с определенной логикой (а следовательно, понимать, на первый взгляд непосредственно, продукты - произведения или практики - принципов, схожих с теми, которые они приводят в действие в своих практиках), чем полнее они освоили эти принципы на практическом уровне” [6, c. 201].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Самосогласованность, когерентность групповых габитусов вытекает из того, что “они являются продуктами диспозиций, которые, будучи интериоризацией тех же объективных структур, объективно организованы, и что практики членов одной группы или дифференцированного общества наделены объективным смыслом, одновременно единичным и систематичным, трансцендентным относительно субъективных намерений и сознательных - индивидуальных или коллективных - планов” [6, c. 189]. Когерентность индивидуальных габитусов: “Личный стиль, т. е. та своеобразная марка, которой снабжены все продукты одного и того же габитуса, практики или произведения, всегда представляет собой лишь отклонение от стиля какого-либо времени или класса, однако это отклонение настолько хорошо отрегулировано и иногда даже закодировано, что личный стиль соотносится с общим стилем не только в силу конформизма..., но еще и в силу отличия, составляющего “манеру” как таковую” [6, с. 189].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Практики, произведенные одним групповым габитусом, “воспринимаются как очевидные или само собой разумеющиеся, т. е. как непосредственно понятные и предсказуемые, теми и только теми агентами, которые практическим владеют системой схем действия и интерпретации, объективно содержащихся в исполнении этих практик” [6, с. 180]. </w:t>
      </w:r>
    </w:p>
    <w:p w:rsidR="00AB19DA" w:rsidRPr="00F20B40" w:rsidRDefault="00AB19DA" w:rsidP="00AB19DA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20B40">
        <w:rPr>
          <w:b/>
          <w:bCs/>
          <w:sz w:val="28"/>
          <w:szCs w:val="28"/>
        </w:rPr>
        <w:t>Список</w:t>
      </w:r>
      <w:r w:rsidRPr="00F20B40">
        <w:rPr>
          <w:b/>
          <w:bCs/>
          <w:sz w:val="28"/>
          <w:szCs w:val="28"/>
          <w:lang w:val="en-US"/>
        </w:rPr>
        <w:t xml:space="preserve"> </w:t>
      </w:r>
      <w:r w:rsidRPr="00F20B40">
        <w:rPr>
          <w:b/>
          <w:bCs/>
          <w:sz w:val="28"/>
          <w:szCs w:val="28"/>
        </w:rPr>
        <w:t>литературы</w:t>
      </w:r>
    </w:p>
    <w:p w:rsidR="00AB19DA" w:rsidRPr="00A439E0" w:rsidRDefault="00AB19DA" w:rsidP="00AB19DA">
      <w:pPr>
        <w:spacing w:before="120"/>
        <w:ind w:firstLine="567"/>
        <w:jc w:val="both"/>
        <w:rPr>
          <w:lang w:val="en-US"/>
        </w:rPr>
      </w:pPr>
      <w:r w:rsidRPr="00A439E0">
        <w:rPr>
          <w:lang w:val="en-US"/>
        </w:rPr>
        <w:t xml:space="preserve">Bourdieu P. Raison pratiques. Sur la théorie de l’action. Paris: Éd. de Seuil, 1994.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rPr>
          <w:lang w:val="en-US"/>
        </w:rPr>
        <w:t xml:space="preserve">Bourdieu P. Le Sens pratique. </w:t>
      </w:r>
      <w:r w:rsidRPr="00A439E0">
        <w:t xml:space="preserve">Paris: Éd. de Minuit, 1980. </w:t>
      </w:r>
    </w:p>
    <w:p w:rsidR="00AB19DA" w:rsidRPr="00A439E0" w:rsidRDefault="00AB19DA" w:rsidP="00AB19DA">
      <w:pPr>
        <w:spacing w:before="120"/>
        <w:ind w:firstLine="567"/>
        <w:jc w:val="both"/>
      </w:pPr>
      <w:r w:rsidRPr="00A439E0">
        <w:t xml:space="preserve">Бурдье П. Кодификация // Начала / Пер. с фр. Н.А. Шматко. М.: Socio-Logos, 1994. </w:t>
      </w:r>
    </w:p>
    <w:p w:rsidR="00AB19DA" w:rsidRPr="00A439E0" w:rsidRDefault="00AB19DA" w:rsidP="00AB19DA">
      <w:pPr>
        <w:spacing w:before="120"/>
        <w:ind w:firstLine="567"/>
        <w:jc w:val="both"/>
        <w:rPr>
          <w:lang w:val="en-US"/>
        </w:rPr>
      </w:pPr>
      <w:r w:rsidRPr="00A439E0">
        <w:rPr>
          <w:lang w:val="en-US"/>
        </w:rPr>
        <w:t xml:space="preserve">Bourdieu P. La Distinction. Critique sociale du jugement. Paris: Éd. de Minuit, 1979. </w:t>
      </w:r>
    </w:p>
    <w:p w:rsidR="00AB19DA" w:rsidRPr="00A439E0" w:rsidRDefault="00AB19DA" w:rsidP="00AB19DA">
      <w:pPr>
        <w:spacing w:before="120"/>
        <w:ind w:firstLine="567"/>
        <w:jc w:val="both"/>
        <w:rPr>
          <w:lang w:val="en-US"/>
        </w:rPr>
      </w:pPr>
      <w:r w:rsidRPr="00A439E0">
        <w:rPr>
          <w:lang w:val="en-US"/>
        </w:rPr>
        <w:t xml:space="preserve">Bourdieu P., Passeron J.-C. La Reproduction. Paris: Éd. de Minuit, 1970. </w:t>
      </w:r>
    </w:p>
    <w:p w:rsidR="00AB19DA" w:rsidRDefault="00AB19DA" w:rsidP="00AB19DA">
      <w:pPr>
        <w:spacing w:before="120"/>
        <w:ind w:firstLine="567"/>
        <w:jc w:val="both"/>
      </w:pPr>
      <w:r w:rsidRPr="00A439E0">
        <w:rPr>
          <w:lang w:val="en-US"/>
        </w:rPr>
        <w:t xml:space="preserve">Bourdieu P. Esquisse d’une thé orie de la pratique. </w:t>
      </w:r>
      <w:r w:rsidRPr="00A439E0">
        <w:t>Genčve: Éd. de Droz, 1972.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9DA"/>
    <w:rsid w:val="001320F0"/>
    <w:rsid w:val="00211CB6"/>
    <w:rsid w:val="003F3287"/>
    <w:rsid w:val="004915ED"/>
    <w:rsid w:val="00A439E0"/>
    <w:rsid w:val="00AB19DA"/>
    <w:rsid w:val="00BB0DE0"/>
    <w:rsid w:val="00C860FA"/>
    <w:rsid w:val="00F2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40ADD4-5736-49B3-B2A9-DAFEB601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D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20669</Words>
  <Characters>11782</Characters>
  <Application>Microsoft Office Word</Application>
  <DocSecurity>0</DocSecurity>
  <Lines>98</Lines>
  <Paragraphs>64</Paragraphs>
  <ScaleCrop>false</ScaleCrop>
  <Company>Home</Company>
  <LinksUpToDate>false</LinksUpToDate>
  <CharactersWithSpaces>32387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“Габитус” в структуре социологической теории</dc:title>
  <dc:subject/>
  <dc:creator>User</dc:creator>
  <cp:keywords/>
  <dc:description/>
  <cp:lastModifiedBy>admin</cp:lastModifiedBy>
  <cp:revision>2</cp:revision>
  <dcterms:created xsi:type="dcterms:W3CDTF">2014-01-25T19:30:00Z</dcterms:created>
  <dcterms:modified xsi:type="dcterms:W3CDTF">2014-01-25T19:30:00Z</dcterms:modified>
</cp:coreProperties>
</file>