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47E" w:rsidRPr="005966BE" w:rsidRDefault="001C147E" w:rsidP="001C147E">
      <w:pPr>
        <w:spacing w:before="120"/>
        <w:jc w:val="center"/>
        <w:rPr>
          <w:b/>
          <w:sz w:val="32"/>
        </w:rPr>
      </w:pPr>
      <w:r w:rsidRPr="005966BE">
        <w:rPr>
          <w:b/>
          <w:sz w:val="32"/>
        </w:rPr>
        <w:t>Лыжные гонки ветеранов в условиях среднегорья</w:t>
      </w:r>
    </w:p>
    <w:p w:rsidR="001C147E" w:rsidRPr="005966BE" w:rsidRDefault="001C147E" w:rsidP="001C147E">
      <w:pPr>
        <w:spacing w:before="120"/>
        <w:jc w:val="center"/>
        <w:rPr>
          <w:sz w:val="28"/>
        </w:rPr>
      </w:pPr>
      <w:r w:rsidRPr="005966BE">
        <w:rPr>
          <w:sz w:val="28"/>
        </w:rPr>
        <w:t>Кандидат педагогических наук, доцент А.Д. Захаров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 xml:space="preserve">Введение. В начале февраля </w:t>
      </w:r>
      <w:smartTag w:uri="urn:schemas-microsoft-com:office:smarttags" w:element="metricconverter">
        <w:smartTagPr>
          <w:attr w:name="ProductID" w:val="2006 г"/>
        </w:smartTagPr>
        <w:r w:rsidRPr="00652438">
          <w:t>2006 г</w:t>
        </w:r>
      </w:smartTag>
      <w:r w:rsidRPr="00652438">
        <w:t>. в Италии произошли два крупных спортивных события: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 xml:space="preserve">- со 2 по 12 февраля состоялся 26-й Кубок мира среди лыжников-гонщиков любителей (ветеранов) в Brusson (в </w:t>
      </w:r>
      <w:smartTag w:uri="urn:schemas-microsoft-com:office:smarttags" w:element="metricconverter">
        <w:smartTagPr>
          <w:attr w:name="ProductID" w:val="100 км"/>
        </w:smartTagPr>
        <w:r w:rsidRPr="00652438">
          <w:t>100 км</w:t>
        </w:r>
      </w:smartTag>
      <w:r w:rsidRPr="00652438">
        <w:t xml:space="preserve"> севернее Torino);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с 12 по 26 февраля</w:t>
      </w:r>
      <w:r>
        <w:t xml:space="preserve"> - </w:t>
      </w:r>
      <w:r w:rsidRPr="00652438">
        <w:t xml:space="preserve">XX зимние Олимпийские игры в Турине. Лыжники-профессионалы выступали в Pragelato (в </w:t>
      </w:r>
      <w:smartTag w:uri="urn:schemas-microsoft-com:office:smarttags" w:element="metricconverter">
        <w:smartTagPr>
          <w:attr w:name="ProductID" w:val="100 км"/>
        </w:smartTagPr>
        <w:r w:rsidRPr="00652438">
          <w:t>100 км</w:t>
        </w:r>
      </w:smartTag>
      <w:r w:rsidRPr="00652438">
        <w:t xml:space="preserve"> западнее Torino).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Таким образом</w:t>
      </w:r>
      <w:r>
        <w:t xml:space="preserve">, </w:t>
      </w:r>
      <w:r w:rsidRPr="00652438">
        <w:t>оба турнира для лыжников-гонщиков проведены практически в одно и то же время</w:t>
      </w:r>
      <w:r>
        <w:t xml:space="preserve">, </w:t>
      </w:r>
      <w:r w:rsidRPr="00652438">
        <w:t>в одной стране и на небо льшом удалении друг от друга</w:t>
      </w:r>
      <w:r>
        <w:t xml:space="preserve">, </w:t>
      </w:r>
      <w:r w:rsidRPr="00652438">
        <w:t>на похожих трассах</w:t>
      </w:r>
      <w:r>
        <w:t xml:space="preserve">, </w:t>
      </w:r>
      <w:r w:rsidRPr="00652438">
        <w:t>в условиях среднегорья.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Были</w:t>
      </w:r>
      <w:r>
        <w:t xml:space="preserve">, </w:t>
      </w:r>
      <w:r w:rsidRPr="00652438">
        <w:t>конечно</w:t>
      </w:r>
      <w:r>
        <w:t xml:space="preserve">, </w:t>
      </w:r>
      <w:r w:rsidRPr="00652438">
        <w:t>различия в сложности трасс</w:t>
      </w:r>
      <w:r>
        <w:t xml:space="preserve">, </w:t>
      </w:r>
      <w:r w:rsidRPr="00652438">
        <w:t>погодных условиях</w:t>
      </w:r>
      <w:r>
        <w:t xml:space="preserve">, </w:t>
      </w:r>
      <w:r w:rsidRPr="00652438">
        <w:t>возрасте участников. Но было одно общее и существенное препятствие</w:t>
      </w:r>
      <w:r>
        <w:t xml:space="preserve"> - </w:t>
      </w:r>
      <w:r w:rsidRPr="00652438">
        <w:t>высота</w:t>
      </w:r>
      <w:r>
        <w:t xml:space="preserve">, </w:t>
      </w:r>
      <w:r w:rsidRPr="00652438">
        <w:t>условия среднегорья.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Миллионы телезрителей видели</w:t>
      </w:r>
      <w:r>
        <w:t xml:space="preserve">, </w:t>
      </w:r>
      <w:r w:rsidRPr="00652438">
        <w:t>как тяжело было олимпийцам на лыжне: движения были замедленны</w:t>
      </w:r>
      <w:r>
        <w:t xml:space="preserve">, </w:t>
      </w:r>
      <w:r w:rsidRPr="00652438">
        <w:t>многие спортсмены так уставали</w:t>
      </w:r>
      <w:r>
        <w:t xml:space="preserve">, </w:t>
      </w:r>
      <w:r w:rsidRPr="00652438">
        <w:t>что падали сразу же за линией финиша. Комментатор особенно жалел женщин</w:t>
      </w:r>
      <w:r>
        <w:t xml:space="preserve">, </w:t>
      </w:r>
      <w:r w:rsidRPr="00652438">
        <w:t xml:space="preserve">которые "по природе не созданы для таких нечеловеческих напряжений…". Во время гонки на </w:t>
      </w:r>
      <w:smartTag w:uri="urn:schemas-microsoft-com:office:smarttags" w:element="metricconverter">
        <w:smartTagPr>
          <w:attr w:name="ProductID" w:val="10 км"/>
        </w:smartTagPr>
        <w:r w:rsidRPr="00652438">
          <w:t>10 км</w:t>
        </w:r>
      </w:smartTag>
      <w:r w:rsidRPr="00652438">
        <w:t xml:space="preserve"> на отметке </w:t>
      </w:r>
      <w:smartTag w:uri="urn:schemas-microsoft-com:office:smarttags" w:element="metricconverter">
        <w:smartTagPr>
          <w:attr w:name="ProductID" w:val="1600 м"/>
        </w:smartTagPr>
        <w:r w:rsidRPr="00652438">
          <w:t>1600 м</w:t>
        </w:r>
      </w:smartTag>
      <w:r w:rsidRPr="00652438">
        <w:t xml:space="preserve"> (7</w:t>
      </w:r>
      <w:r>
        <w:t xml:space="preserve">, </w:t>
      </w:r>
      <w:smartTag w:uri="urn:schemas-microsoft-com:office:smarttags" w:element="metricconverter">
        <w:smartTagPr>
          <w:attr w:name="ProductID" w:val="7 км"/>
        </w:smartTagPr>
        <w:r w:rsidRPr="00652438">
          <w:t>7 км</w:t>
        </w:r>
      </w:smartTag>
      <w:r w:rsidRPr="00652438">
        <w:t>)</w:t>
      </w:r>
      <w:r>
        <w:t xml:space="preserve">, </w:t>
      </w:r>
      <w:r w:rsidRPr="00652438">
        <w:t>обессилев</w:t>
      </w:r>
      <w:r>
        <w:t xml:space="preserve">, </w:t>
      </w:r>
      <w:r w:rsidRPr="00652438">
        <w:t xml:space="preserve">упала польская лыжница Ю. Ковальчик… Однако уже через неделю она стала бронзовым призером Олимпиады в гонке на </w:t>
      </w:r>
      <w:smartTag w:uri="urn:schemas-microsoft-com:office:smarttags" w:element="metricconverter">
        <w:smartTagPr>
          <w:attr w:name="ProductID" w:val="30 км"/>
        </w:smartTagPr>
        <w:r w:rsidRPr="00652438">
          <w:t>30 км</w:t>
        </w:r>
      </w:smartTag>
      <w:r w:rsidRPr="00652438">
        <w:t xml:space="preserve">. Серебряный призер в гонке на </w:t>
      </w:r>
      <w:smartTag w:uri="urn:schemas-microsoft-com:office:smarttags" w:element="metricconverter">
        <w:smartTagPr>
          <w:attr w:name="ProductID" w:val="30 км"/>
        </w:smartTagPr>
        <w:r w:rsidRPr="00652438">
          <w:t>30 км</w:t>
        </w:r>
      </w:smartTag>
      <w:r w:rsidRPr="00652438">
        <w:t xml:space="preserve"> Ю. Чепалова после гонки призналась: "В конце подъема так сильно болели ноги</w:t>
      </w:r>
      <w:r>
        <w:t xml:space="preserve">, </w:t>
      </w:r>
      <w:r w:rsidRPr="00652438">
        <w:t xml:space="preserve">что просто кричала…". На дистанции </w:t>
      </w:r>
      <w:smartTag w:uri="urn:schemas-microsoft-com:office:smarttags" w:element="metricconverter">
        <w:smartTagPr>
          <w:attr w:name="ProductID" w:val="50 км"/>
        </w:smartTagPr>
        <w:r w:rsidRPr="00652438">
          <w:t>50 км</w:t>
        </w:r>
      </w:smartTag>
      <w:r w:rsidRPr="00652438">
        <w:t xml:space="preserve"> у мужчин 25 % участников не закончили дистанцию (82 стартовали</w:t>
      </w:r>
      <w:r>
        <w:t xml:space="preserve">, </w:t>
      </w:r>
      <w:r w:rsidRPr="00652438">
        <w:t>60 финишировали). Каждому было трудно по-своему</w:t>
      </w:r>
      <w:r>
        <w:t xml:space="preserve">, </w:t>
      </w:r>
      <w:r w:rsidRPr="00652438">
        <w:t>но тем не менее побеждал сильнейший.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Мощная волна зимней Олимпиады захлестнула многие другие спортивные события</w:t>
      </w:r>
      <w:r>
        <w:t xml:space="preserve">, </w:t>
      </w:r>
      <w:r w:rsidRPr="00652438">
        <w:t>в том числе и Кубок мира мастеров-2006 в Брюссоне.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Можно представить себе</w:t>
      </w:r>
      <w:r>
        <w:t xml:space="preserve">, </w:t>
      </w:r>
      <w:r w:rsidRPr="00652438">
        <w:t>что испытывали лыжники-ветераны. В первый день соревнований упал на спуске и потерял сознание один из сильнейших лыжников 9-й возрастной группы. Ему оказали помощь</w:t>
      </w:r>
      <w:r>
        <w:t xml:space="preserve">, </w:t>
      </w:r>
      <w:r w:rsidRPr="00652438">
        <w:t>но он был вынужден сойти с дистанции. В дальнейшем его состояние улучшилось и он успешно выступал</w:t>
      </w:r>
      <w:r>
        <w:t xml:space="preserve">, </w:t>
      </w:r>
      <w:r w:rsidRPr="00652438">
        <w:t>став призером соревнований. Во время гонки упала на дистанции (понизилось давление) лыжница 5-й группы</w:t>
      </w:r>
      <w:r>
        <w:t xml:space="preserve"> - </w:t>
      </w:r>
      <w:r w:rsidRPr="00652438">
        <w:t>ей также своевременно была оказана помощь. К сожалению</w:t>
      </w:r>
      <w:r>
        <w:t xml:space="preserve">, </w:t>
      </w:r>
      <w:r w:rsidRPr="00652438">
        <w:t>несчастный случай с летальным исходом произошел с лыжником старшего возраста из Норвегии</w:t>
      </w:r>
      <w:r>
        <w:t xml:space="preserve">, </w:t>
      </w:r>
      <w:r w:rsidRPr="00652438">
        <w:t>который до этого участвовал в двух гонках</w:t>
      </w:r>
      <w:r>
        <w:t xml:space="preserve">, </w:t>
      </w:r>
      <w:r w:rsidRPr="00652438">
        <w:t>а в этот день просто находился на трассе и с ним случился сердечный приступ.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Такие случаи</w:t>
      </w:r>
      <w:r>
        <w:t xml:space="preserve">, </w:t>
      </w:r>
      <w:r w:rsidRPr="00652438">
        <w:t>естественно</w:t>
      </w:r>
      <w:r>
        <w:t xml:space="preserve">, </w:t>
      </w:r>
      <w:r w:rsidRPr="00652438">
        <w:t>настораживают и организаторов соревнований в среднегорье</w:t>
      </w:r>
      <w:r>
        <w:t xml:space="preserve">, </w:t>
      </w:r>
      <w:r w:rsidRPr="00652438">
        <w:t>и самих участников. Однако</w:t>
      </w:r>
      <w:r>
        <w:t xml:space="preserve">, </w:t>
      </w:r>
      <w:r w:rsidRPr="00652438">
        <w:t>наблюдая падения и победы одних и тех же спортсменов</w:t>
      </w:r>
      <w:r>
        <w:t xml:space="preserve">, </w:t>
      </w:r>
      <w:r w:rsidRPr="00652438">
        <w:t>можно сделать вывод об удивительных адаптационных возможностях человека. Так</w:t>
      </w:r>
      <w:r>
        <w:t xml:space="preserve">, </w:t>
      </w:r>
      <w:r w:rsidRPr="00652438">
        <w:t>известный болгарский ученый Тодор Дичев отмечает</w:t>
      </w:r>
      <w:r>
        <w:t xml:space="preserve">, </w:t>
      </w:r>
      <w:r w:rsidRPr="00652438">
        <w:t>что у человека "каждый орган имеет 7-10-кратный запас прочности адаптации по сравнению с обычной нормой к экологическим условиям и психобиоэнергетическим воздействиям".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Тем не менее хотелось бы подчеркнуть</w:t>
      </w:r>
      <w:r>
        <w:t xml:space="preserve">, </w:t>
      </w:r>
      <w:r w:rsidRPr="00652438">
        <w:t>что сильнейшие лыжники-профессионалы постоянно выступают в горных условиях на этапах Кубка мира</w:t>
      </w:r>
      <w:r>
        <w:t xml:space="preserve">, </w:t>
      </w:r>
      <w:r w:rsidRPr="00652438">
        <w:t>чемпионатов мира и Олимпийских игр</w:t>
      </w:r>
      <w:r>
        <w:t xml:space="preserve">, </w:t>
      </w:r>
      <w:r w:rsidRPr="00652438">
        <w:t>а лыжники-ветераны такого опыта и стажа горной подготовки не имеют.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Отсутствие литературных источников и практического опыта участия лыжников-ветеранов в соревнованиях в условиях среднегорья ставит перед необходимостью решить ряд проблем: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горной подготовки в лыжных гонках;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влияния условий среднегорья и факторов</w:t>
      </w:r>
      <w:r>
        <w:t xml:space="preserve">, </w:t>
      </w:r>
      <w:r w:rsidRPr="00652438">
        <w:t xml:space="preserve">влияющих на работоспособность лыжников-гонщиков; 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изучения результатов выступления лыжников-ветеранов основных возрастных групп (с 1-й по 9-ю) в одинаковых (стандартных) условиях</w:t>
      </w:r>
      <w:r>
        <w:t xml:space="preserve">, </w:t>
      </w:r>
      <w:r w:rsidRPr="00652438">
        <w:t xml:space="preserve">т.е. в гонке на </w:t>
      </w:r>
      <w:smartTag w:uri="urn:schemas-microsoft-com:office:smarttags" w:element="metricconverter">
        <w:smartTagPr>
          <w:attr w:name="ProductID" w:val="10 км"/>
        </w:smartTagPr>
        <w:r w:rsidRPr="00652438">
          <w:t>10 км</w:t>
        </w:r>
      </w:smartTag>
      <w:r w:rsidRPr="00652438">
        <w:t>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выработки рекомендаций по подготовке к соревнованиям лыжников-ветеранов в условиях среднегорья и участию в них.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 xml:space="preserve">Горная подготовка в лыжных гонках. К подготовке лыжников-гонщиков в среднегорье особенно интенсивно подошли в </w:t>
      </w:r>
      <w:smartTag w:uri="urn:schemas-microsoft-com:office:smarttags" w:element="metricconverter">
        <w:smartTagPr>
          <w:attr w:name="ProductID" w:val="1947 г"/>
        </w:smartTagPr>
        <w:r w:rsidRPr="00652438">
          <w:t>1947 г</w:t>
        </w:r>
      </w:smartTag>
      <w:r w:rsidRPr="00652438">
        <w:t>. в связи с проведением Олимпиад</w:t>
      </w:r>
      <w:r>
        <w:t xml:space="preserve">, </w:t>
      </w:r>
      <w:r w:rsidRPr="00652438">
        <w:t>чемпионатов и этапов Кубка мира в условиях среднегорья. К 70-м гг. XX в. в лыжном спорте рекомендовалось иметь горный стаж подготовки в течение года не менее 60</w:t>
      </w:r>
      <w:r>
        <w:t xml:space="preserve"> - </w:t>
      </w:r>
      <w:r w:rsidRPr="00652438">
        <w:t>65 дней с интервалом в 2-3 месяца по 20</w:t>
      </w:r>
      <w:r>
        <w:t xml:space="preserve"> - </w:t>
      </w:r>
      <w:r w:rsidRPr="00652438">
        <w:t>24 дня: 2 раза в подготовительном периоде и 1 раз</w:t>
      </w:r>
      <w:r>
        <w:t xml:space="preserve"> - </w:t>
      </w:r>
      <w:r w:rsidRPr="00652438">
        <w:t>в соревновательном.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1970</w:t>
      </w:r>
      <w:r>
        <w:t xml:space="preserve"> - </w:t>
      </w:r>
      <w:r w:rsidRPr="00652438">
        <w:t>1971 гг. у известных лыжников В. Веденина и Ф. Симашова горный стаж составил соответственно 102 и 78 дней.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1985</w:t>
      </w:r>
      <w:r>
        <w:t xml:space="preserve"> - </w:t>
      </w:r>
      <w:r w:rsidRPr="00652438">
        <w:t>1986 гг. из молодых лыжников-гонщиков</w:t>
      </w:r>
      <w:r>
        <w:t xml:space="preserve">, </w:t>
      </w:r>
      <w:r w:rsidRPr="00652438">
        <w:t xml:space="preserve">которые тренировались в условиях высокогорья (около </w:t>
      </w:r>
      <w:smartTag w:uri="urn:schemas-microsoft-com:office:smarttags" w:element="metricconverter">
        <w:smartTagPr>
          <w:attr w:name="ProductID" w:val="3000 м"/>
        </w:smartTagPr>
        <w:r w:rsidRPr="00652438">
          <w:t>3000 м</w:t>
        </w:r>
      </w:smartTag>
      <w:r w:rsidRPr="00652438">
        <w:t>)</w:t>
      </w:r>
      <w:r>
        <w:t xml:space="preserve">, </w:t>
      </w:r>
      <w:r w:rsidRPr="00652438">
        <w:t>была создана экспериментальная группа</w:t>
      </w:r>
      <w:r>
        <w:t xml:space="preserve">, </w:t>
      </w:r>
      <w:r w:rsidRPr="00652438">
        <w:t>однако положительных результатов такая подготовка не дала.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Данная проблема в профессиональном спорте актуальна и сейчас.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любительском лыжном спорте и среди лыжников-ветеранов проблема подготовки и участия в соревнованиях в среднегорье пока не изучалась</w:t>
      </w:r>
      <w:r>
        <w:t xml:space="preserve">, </w:t>
      </w:r>
      <w:r w:rsidRPr="00652438">
        <w:t>хотя общие вопросы рассматривались.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настоящее время существует следующая градация высотных уровней</w:t>
      </w:r>
      <w:r>
        <w:t xml:space="preserve">, </w:t>
      </w:r>
      <w:r w:rsidRPr="00652438">
        <w:t>используемых в подготовке и выступлениях спортсменов: низкогорье</w:t>
      </w:r>
      <w:r>
        <w:t xml:space="preserve"> - </w:t>
      </w:r>
      <w:r w:rsidRPr="00652438">
        <w:t xml:space="preserve">от 600 до </w:t>
      </w:r>
      <w:smartTag w:uri="urn:schemas-microsoft-com:office:smarttags" w:element="metricconverter">
        <w:smartTagPr>
          <w:attr w:name="ProductID" w:val="1200 м"/>
        </w:smartTagPr>
        <w:r w:rsidRPr="00652438">
          <w:t>1200 м</w:t>
        </w:r>
      </w:smartTag>
      <w:r w:rsidRPr="00652438">
        <w:t xml:space="preserve"> над уровнем моря; среднегорье</w:t>
      </w:r>
      <w:r>
        <w:t xml:space="preserve"> - </w:t>
      </w:r>
      <w:r w:rsidRPr="00652438">
        <w:t xml:space="preserve">от 1300 до </w:t>
      </w:r>
      <w:smartTag w:uri="urn:schemas-microsoft-com:office:smarttags" w:element="metricconverter">
        <w:smartTagPr>
          <w:attr w:name="ProductID" w:val="2500 м"/>
        </w:smartTagPr>
        <w:r w:rsidRPr="00652438">
          <w:t>2500 м</w:t>
        </w:r>
      </w:smartTag>
      <w:r w:rsidRPr="00652438">
        <w:t xml:space="preserve"> над уровнем моря; высокогорье</w:t>
      </w:r>
      <w:r>
        <w:t xml:space="preserve"> - </w:t>
      </w:r>
      <w:r w:rsidRPr="00652438">
        <w:t xml:space="preserve">свыше </w:t>
      </w:r>
      <w:smartTag w:uri="urn:schemas-microsoft-com:office:smarttags" w:element="metricconverter">
        <w:smartTagPr>
          <w:attr w:name="ProductID" w:val="2500 м"/>
        </w:smartTagPr>
        <w:r w:rsidRPr="00652438">
          <w:t>2500 м</w:t>
        </w:r>
      </w:smartTag>
      <w:r w:rsidRPr="00652438">
        <w:t xml:space="preserve"> над уровнем моря.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современной подготовке лыжников высокой квалификации используются все три высотных уровня. Например</w:t>
      </w:r>
      <w:r>
        <w:t xml:space="preserve">, </w:t>
      </w:r>
      <w:r w:rsidRPr="00652438">
        <w:t>члены олимпийской команды России (ст. тренер Ю. В. Бородавко) в процессе подготовки к XX зимней Олимпиаде в Турине (Италия</w:t>
      </w:r>
      <w:r>
        <w:t xml:space="preserve">, </w:t>
      </w:r>
      <w:r w:rsidRPr="00652438">
        <w:t>2006) готовились на высокогорной базе в Болгарии (Белмекен</w:t>
      </w:r>
      <w:r>
        <w:t xml:space="preserve">, </w:t>
      </w:r>
      <w:smartTag w:uri="urn:schemas-microsoft-com:office:smarttags" w:element="metricconverter">
        <w:smartTagPr>
          <w:attr w:name="ProductID" w:val="2050 м"/>
        </w:smartTagPr>
        <w:r w:rsidRPr="00652438">
          <w:t>2050 м</w:t>
        </w:r>
      </w:smartTag>
      <w:r w:rsidRPr="00652438">
        <w:t>)</w:t>
      </w:r>
      <w:r>
        <w:t xml:space="preserve">, </w:t>
      </w:r>
      <w:r w:rsidRPr="00652438">
        <w:t xml:space="preserve">на глетчере в Австрии (свыше </w:t>
      </w:r>
      <w:smartTag w:uri="urn:schemas-microsoft-com:office:smarttags" w:element="metricconverter">
        <w:smartTagPr>
          <w:attr w:name="ProductID" w:val="2500 м"/>
        </w:smartTagPr>
        <w:r w:rsidRPr="00652438">
          <w:t>2500 м</w:t>
        </w:r>
      </w:smartTag>
      <w:r w:rsidRPr="00652438">
        <w:t>)</w:t>
      </w:r>
      <w:r>
        <w:t xml:space="preserve">, </w:t>
      </w:r>
      <w:r w:rsidRPr="00652438">
        <w:t>в Хакассии (Яртаки</w:t>
      </w:r>
      <w:r>
        <w:t xml:space="preserve">, </w:t>
      </w:r>
      <w:smartTag w:uri="urn:schemas-microsoft-com:office:smarttags" w:element="metricconverter">
        <w:smartTagPr>
          <w:attr w:name="ProductID" w:val="1600 м"/>
        </w:smartTagPr>
        <w:r w:rsidRPr="00652438">
          <w:t>1600 м</w:t>
        </w:r>
      </w:smartTag>
      <w:r>
        <w:t xml:space="preserve">, </w:t>
      </w:r>
      <w:r w:rsidRPr="00652438">
        <w:t>Вершина Тёи</w:t>
      </w:r>
      <w:r>
        <w:t xml:space="preserve">, </w:t>
      </w:r>
      <w:smartTag w:uri="urn:schemas-microsoft-com:office:smarttags" w:element="metricconverter">
        <w:smartTagPr>
          <w:attr w:name="ProductID" w:val="1000 м"/>
        </w:smartTagPr>
        <w:r w:rsidRPr="00652438">
          <w:t>1000 м</w:t>
        </w:r>
      </w:smartTag>
      <w:r w:rsidRPr="00652438">
        <w:t>)</w:t>
      </w:r>
      <w:r>
        <w:t xml:space="preserve">, </w:t>
      </w:r>
      <w:r w:rsidRPr="00652438">
        <w:t>в Армении (Цахкадзор</w:t>
      </w:r>
      <w:r>
        <w:t xml:space="preserve">, </w:t>
      </w:r>
      <w:smartTag w:uri="urn:schemas-microsoft-com:office:smarttags" w:element="metricconverter">
        <w:smartTagPr>
          <w:attr w:name="ProductID" w:val="1980 м"/>
        </w:smartTagPr>
        <w:r w:rsidRPr="00652438">
          <w:t>1980 м</w:t>
        </w:r>
      </w:smartTag>
      <w:r w:rsidRPr="00652438">
        <w:t xml:space="preserve">). 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 xml:space="preserve">По итогам выступлений на зимней Олимпиаде в </w:t>
      </w:r>
      <w:smartTag w:uri="urn:schemas-microsoft-com:office:smarttags" w:element="metricconverter">
        <w:smartTagPr>
          <w:attr w:name="ProductID" w:val="2006 г"/>
        </w:smartTagPr>
        <w:r w:rsidRPr="00652438">
          <w:t>2006 г</w:t>
        </w:r>
      </w:smartTag>
      <w:r w:rsidRPr="00652438">
        <w:t>. можно предположить</w:t>
      </w:r>
      <w:r>
        <w:t xml:space="preserve">, </w:t>
      </w:r>
      <w:r w:rsidRPr="00652438">
        <w:t>что такой стаж горной подготовки при соответствующей последовательности и методике подготовки принес ощутимые результаты. Так</w:t>
      </w:r>
      <w:r>
        <w:t xml:space="preserve">, </w:t>
      </w:r>
      <w:r w:rsidRPr="00652438">
        <w:t>например</w:t>
      </w:r>
      <w:r>
        <w:t xml:space="preserve">, </w:t>
      </w:r>
      <w:r w:rsidRPr="00652438">
        <w:t xml:space="preserve">Е. Дементьев из этой группы завоевал золотую (на </w:t>
      </w:r>
      <w:smartTag w:uri="urn:schemas-microsoft-com:office:smarttags" w:element="metricconverter">
        <w:smartTagPr>
          <w:attr w:name="ProductID" w:val="30 км"/>
        </w:smartTagPr>
        <w:r w:rsidRPr="00652438">
          <w:t>30 км</w:t>
        </w:r>
      </w:smartTag>
      <w:r w:rsidRPr="00652438">
        <w:t xml:space="preserve">) и серебряную (на </w:t>
      </w:r>
      <w:smartTag w:uri="urn:schemas-microsoft-com:office:smarttags" w:element="metricconverter">
        <w:smartTagPr>
          <w:attr w:name="ProductID" w:val="50 км"/>
        </w:smartTagPr>
        <w:r w:rsidRPr="00652438">
          <w:t>50 км</w:t>
        </w:r>
      </w:smartTag>
      <w:r w:rsidRPr="00652438">
        <w:t>) медали</w:t>
      </w:r>
      <w:r>
        <w:t xml:space="preserve">, </w:t>
      </w:r>
      <w:r w:rsidRPr="00652438">
        <w:t>а И. Алыпов и В. Рочев</w:t>
      </w:r>
      <w:r>
        <w:t xml:space="preserve"> - </w:t>
      </w:r>
      <w:r w:rsidRPr="00652438">
        <w:t>бронзовые медали в спринте.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Условия среднегорья и факторы</w:t>
      </w:r>
      <w:r>
        <w:t xml:space="preserve">, </w:t>
      </w:r>
      <w:r w:rsidRPr="00652438">
        <w:t>влияющие на работоспособность лыжников гонщиков. Основные факторы</w:t>
      </w:r>
      <w:r>
        <w:t xml:space="preserve">, </w:t>
      </w:r>
      <w:r w:rsidRPr="00652438">
        <w:t>влияющие на работоспособность лыжников-гонщиков в условиях среднегорья</w:t>
      </w:r>
      <w:r>
        <w:t xml:space="preserve">, </w:t>
      </w:r>
      <w:r w:rsidRPr="00652438">
        <w:t>это температурный режим</w:t>
      </w:r>
      <w:r>
        <w:t xml:space="preserve">, </w:t>
      </w:r>
      <w:r w:rsidRPr="00652438">
        <w:t>влажность воздуха</w:t>
      </w:r>
      <w:r>
        <w:t xml:space="preserve">, </w:t>
      </w:r>
      <w:r w:rsidRPr="00652438">
        <w:t>атмосферное давление</w:t>
      </w:r>
      <w:r>
        <w:t xml:space="preserve">, </w:t>
      </w:r>
      <w:r w:rsidRPr="00652438">
        <w:t>парциальное давление кислорода</w:t>
      </w:r>
      <w:r>
        <w:t xml:space="preserve"> - </w:t>
      </w:r>
      <w:r w:rsidRPr="00652438">
        <w:t>РО2.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Температурный режим характеризуется резким перепадом температуры в ночное и дневное время. Например</w:t>
      </w:r>
      <w:r>
        <w:t xml:space="preserve">, </w:t>
      </w:r>
      <w:r w:rsidRPr="00652438">
        <w:t>в Брюссоне ночью было холодно (-10-15o)</w:t>
      </w:r>
      <w:r>
        <w:t xml:space="preserve">, </w:t>
      </w:r>
      <w:r w:rsidRPr="00652438">
        <w:t>днем на солнце 3-5o тепла. Утром во время стартов t снега</w:t>
      </w:r>
      <w:r>
        <w:t xml:space="preserve"> - - </w:t>
      </w:r>
      <w:r w:rsidRPr="00652438">
        <w:t>6 o</w:t>
      </w:r>
      <w:r>
        <w:t xml:space="preserve">, </w:t>
      </w:r>
      <w:r w:rsidRPr="00652438">
        <w:t>воздуха</w:t>
      </w:r>
      <w:r>
        <w:t xml:space="preserve"> - - </w:t>
      </w:r>
      <w:r w:rsidRPr="00652438">
        <w:t>4 o с постепенным повышением. На самочувствие колебания сильно не влияют</w:t>
      </w:r>
      <w:r>
        <w:t xml:space="preserve">, </w:t>
      </w:r>
      <w:r w:rsidRPr="00652438">
        <w:t>хотя возникают трудности с подготовкой лыж.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 xml:space="preserve">Влажность воздуха в горах уже на высоте </w:t>
      </w:r>
      <w:smartTag w:uri="urn:schemas-microsoft-com:office:smarttags" w:element="metricconverter">
        <w:smartTagPr>
          <w:attr w:name="ProductID" w:val="2000 м"/>
        </w:smartTagPr>
        <w:r w:rsidRPr="00652438">
          <w:t>2000 м</w:t>
        </w:r>
      </w:smartTag>
      <w:r w:rsidRPr="00652438">
        <w:t xml:space="preserve"> в два раза меньше</w:t>
      </w:r>
      <w:r>
        <w:t xml:space="preserve">, </w:t>
      </w:r>
      <w:r w:rsidRPr="00652438">
        <w:t>чем на уровне моря</w:t>
      </w:r>
      <w:r>
        <w:t xml:space="preserve">, </w:t>
      </w:r>
      <w:r w:rsidRPr="00652438">
        <w:t>и чем выше</w:t>
      </w:r>
      <w:r>
        <w:t xml:space="preserve">, </w:t>
      </w:r>
      <w:r w:rsidRPr="00652438">
        <w:t>тем суше воздух. Это обстоятельство имеет троякое значение: влияет на величину РО2</w:t>
      </w:r>
      <w:r>
        <w:t xml:space="preserve">, </w:t>
      </w:r>
      <w:r w:rsidRPr="00652438">
        <w:t>меняет условия солнечной радиации и усиливает потерю жидкости организмом не только посредством испарения с кожи</w:t>
      </w:r>
      <w:r>
        <w:t xml:space="preserve">, </w:t>
      </w:r>
      <w:r w:rsidRPr="00652438">
        <w:t>но и через легкие</w:t>
      </w:r>
      <w:r>
        <w:t xml:space="preserve">, </w:t>
      </w:r>
      <w:r w:rsidRPr="00652438">
        <w:t>путем гипервентиляции. С учетом этого важно соблюдать повышенный питьевой режим</w:t>
      </w:r>
      <w:r>
        <w:t xml:space="preserve">, </w:t>
      </w:r>
      <w:r w:rsidRPr="00652438">
        <w:t>чтобы не допустить обезвоживания организма</w:t>
      </w:r>
      <w:r>
        <w:t xml:space="preserve">, </w:t>
      </w:r>
      <w:r w:rsidRPr="00652438">
        <w:t>что ведет к загустению крови и снижению работоспособности. Поэтому в процессе соревнований по лыжным гонкам</w:t>
      </w:r>
      <w:r>
        <w:t xml:space="preserve">, </w:t>
      </w:r>
      <w:r w:rsidRPr="00652438">
        <w:t>особенно на длинных дистанциях</w:t>
      </w:r>
      <w:r>
        <w:t xml:space="preserve">, </w:t>
      </w:r>
      <w:r w:rsidRPr="00652438">
        <w:t>следует увеличить частоту приема жидкости (чай</w:t>
      </w:r>
      <w:r>
        <w:t xml:space="preserve">, </w:t>
      </w:r>
      <w:r w:rsidRPr="00652438">
        <w:t>изотонический напиток и др.).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Атмосферное давление по мере увеличения высоты падает</w:t>
      </w:r>
      <w:r>
        <w:t xml:space="preserve">, </w:t>
      </w:r>
      <w:r w:rsidRPr="00652438">
        <w:t>что</w:t>
      </w:r>
      <w:r>
        <w:t xml:space="preserve">, </w:t>
      </w:r>
      <w:r w:rsidRPr="00652438">
        <w:t>особенно в первые дни острой акклиматизации</w:t>
      </w:r>
      <w:r>
        <w:t xml:space="preserve">, </w:t>
      </w:r>
      <w:r w:rsidRPr="00652438">
        <w:t>вызывает плохое самочувствие</w:t>
      </w:r>
      <w:r>
        <w:t xml:space="preserve">, </w:t>
      </w:r>
      <w:r w:rsidRPr="00652438">
        <w:t>нарушение сна</w:t>
      </w:r>
      <w:r>
        <w:t xml:space="preserve">, </w:t>
      </w:r>
      <w:r w:rsidRPr="00652438">
        <w:t>головные боли…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Парциальное давление кислорода уменьшается</w:t>
      </w:r>
      <w:r>
        <w:t xml:space="preserve">, </w:t>
      </w:r>
      <w:r w:rsidRPr="00652438">
        <w:t xml:space="preserve">что приводит к гипоксемии и недонасыщению им гемоглобина. В ткани поступает недостаточное количество О2 и развивается гипоксия. Но этот показатель характерен для высот более </w:t>
      </w:r>
      <w:smartTag w:uri="urn:schemas-microsoft-com:office:smarttags" w:element="metricconverter">
        <w:smartTagPr>
          <w:attr w:name="ProductID" w:val="3000 м"/>
        </w:smartTagPr>
        <w:r w:rsidRPr="00652438">
          <w:t>3000 м</w:t>
        </w:r>
      </w:smartTag>
      <w:r>
        <w:t xml:space="preserve">, </w:t>
      </w:r>
      <w:r w:rsidRPr="00652438">
        <w:t>а в среднегорье важен при повышенных физических нагрузках.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Лыжники разного возраста</w:t>
      </w:r>
      <w:r>
        <w:t xml:space="preserve">, </w:t>
      </w:r>
      <w:r w:rsidRPr="00652438">
        <w:t>здоровья и подготовленности по-разному реагируют на комплекс этих факторов и поэтому</w:t>
      </w:r>
      <w:r>
        <w:t xml:space="preserve">, </w:t>
      </w:r>
      <w:r w:rsidRPr="00652438">
        <w:t>естественно</w:t>
      </w:r>
      <w:r>
        <w:t xml:space="preserve">, </w:t>
      </w:r>
      <w:r w:rsidRPr="00652438">
        <w:t>имеют разные сроки акклиматизации и успехи</w:t>
      </w:r>
      <w:r>
        <w:t xml:space="preserve">, </w:t>
      </w:r>
      <w:r w:rsidRPr="00652438">
        <w:t>выступая в условиях среднегорья.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А в среднем</w:t>
      </w:r>
      <w:r>
        <w:t xml:space="preserve">, </w:t>
      </w:r>
      <w:r w:rsidRPr="00652438">
        <w:t>как отмечают многие авторы и показывают собственные наблюдения</w:t>
      </w:r>
      <w:r>
        <w:t xml:space="preserve">, </w:t>
      </w:r>
      <w:r w:rsidRPr="00652438">
        <w:t>для акклиматизации в среднегорье необходимо 10-12 дней; при этом в период острой акклиматизации (3-5-й дни) следует значительно снизить интенсивность нагрузки в сравнении с равнинной. В этот период идет острая перестройка в организме: в процессе адаптации к гипоксии уменьшаются щелочной резерв и буферная ёмкость крови</w:t>
      </w:r>
      <w:r>
        <w:t xml:space="preserve">, </w:t>
      </w:r>
      <w:r w:rsidRPr="00652438">
        <w:t>что ведет к снижению способности переносить кислородную недостаточность и отрицательно сказывается на работоспособности. Затем</w:t>
      </w:r>
      <w:r>
        <w:t xml:space="preserve">, </w:t>
      </w:r>
      <w:r w:rsidRPr="00652438">
        <w:t>с наступлением акклиматизации</w:t>
      </w:r>
      <w:r>
        <w:t xml:space="preserve">, </w:t>
      </w:r>
      <w:r w:rsidRPr="00652438">
        <w:t>буферная ёмкость крови увеличивается и работоспособность повышается.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Максимальное потребление кислорода (МПК) также снижается</w:t>
      </w:r>
      <w:r>
        <w:t xml:space="preserve">, </w:t>
      </w:r>
      <w:r w:rsidRPr="00652438">
        <w:t xml:space="preserve">что субъективно было замечено нами уже на высоте около </w:t>
      </w:r>
      <w:smartTag w:uri="urn:schemas-microsoft-com:office:smarttags" w:element="metricconverter">
        <w:smartTagPr>
          <w:attr w:name="ProductID" w:val="1000 м"/>
        </w:smartTagPr>
        <w:r w:rsidRPr="00652438">
          <w:t>1000 м</w:t>
        </w:r>
      </w:smartTag>
      <w:r w:rsidRPr="00652438">
        <w:t xml:space="preserve"> (Вершина Тёи). Положительный эффект затем заключается в улучшении окислительных процессов в мышцах и увеличении содержания гемоглобина.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первые дни акклиматизации нарушается тонкая координация движений и мышечных ощущений</w:t>
      </w:r>
      <w:r>
        <w:t xml:space="preserve">, </w:t>
      </w:r>
      <w:r w:rsidRPr="00652438">
        <w:t>что приводит к ошибкам в технике лыжных ходов.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Во время соревнований наблюдается постоянная нехватка кислорода</w:t>
      </w:r>
      <w:r>
        <w:t xml:space="preserve">, </w:t>
      </w:r>
      <w:r w:rsidRPr="00652438">
        <w:t>поэтому очень важно не допускать "кислородного долга" как после преодоления отдельного подъёма</w:t>
      </w:r>
      <w:r>
        <w:t xml:space="preserve">, </w:t>
      </w:r>
      <w:r w:rsidRPr="00652438">
        <w:t>так и в процессе прохождения дистанции. Важно всегда идти с небольшим запасом скорости.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По данным зарубежных авторов</w:t>
      </w:r>
      <w:r>
        <w:t xml:space="preserve">, </w:t>
      </w:r>
      <w:r w:rsidRPr="00652438">
        <w:t>с возрастом снижается эффективность множества процессов физиологической регуляции: уменьшается МПК; снижается ЧСС; происходит уменьшение жизненной емкости легких и объёма форсированного выдоха; постепенно снижается уровень максимальной силы.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Таблица 1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2"/>
        <w:gridCol w:w="1771"/>
        <w:gridCol w:w="1377"/>
        <w:gridCol w:w="1377"/>
        <w:gridCol w:w="1377"/>
        <w:gridCol w:w="1377"/>
        <w:gridCol w:w="1377"/>
      </w:tblGrid>
      <w:tr w:rsidR="001C147E" w:rsidRPr="00652438" w:rsidTr="0007754F">
        <w:trPr>
          <w:tblCellSpacing w:w="0" w:type="dxa"/>
        </w:trPr>
        <w:tc>
          <w:tcPr>
            <w:tcW w:w="524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Дата</w:t>
            </w:r>
          </w:p>
        </w:tc>
        <w:tc>
          <w:tcPr>
            <w:tcW w:w="91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Стиль</w:t>
            </w:r>
          </w:p>
        </w:tc>
        <w:tc>
          <w:tcPr>
            <w:tcW w:w="21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Мужчины (группы)</w:t>
            </w:r>
          </w:p>
        </w:tc>
        <w:tc>
          <w:tcPr>
            <w:tcW w:w="14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Женщины (группы)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47E" w:rsidRPr="00652438" w:rsidRDefault="001C147E" w:rsidP="0007754F"/>
        </w:tc>
        <w:tc>
          <w:tcPr>
            <w:tcW w:w="91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47E" w:rsidRPr="00652438" w:rsidRDefault="001C147E" w:rsidP="0007754F"/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01-06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07-09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10-12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01-08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09-12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05.02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классический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06.02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свободный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07.02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классический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5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07.02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свободный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5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08.02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отдых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-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-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-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-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-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09.02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47E" w:rsidRPr="00652438" w:rsidRDefault="001C147E" w:rsidP="0007754F">
            <w:r w:rsidRPr="00652438">
              <w:t>2 этапа</w:t>
            </w:r>
            <w:r>
              <w:t xml:space="preserve"> - </w:t>
            </w:r>
            <w:r w:rsidRPr="00652438">
              <w:t xml:space="preserve">кл. </w:t>
            </w:r>
          </w:p>
          <w:p w:rsidR="001C147E" w:rsidRPr="00652438" w:rsidRDefault="001C147E" w:rsidP="0007754F">
            <w:r w:rsidRPr="00652438">
              <w:t>2 этапа</w:t>
            </w:r>
            <w:r>
              <w:t xml:space="preserve"> - </w:t>
            </w:r>
            <w:r w:rsidRPr="00652438">
              <w:t>св.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эстафеты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эстафеты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эстафеты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эстафеты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эстафеты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10.02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классический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45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52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11.02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свободный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45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30</w:t>
            </w:r>
          </w:p>
        </w:tc>
        <w:tc>
          <w:tcPr>
            <w:tcW w:w="7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15</w:t>
            </w:r>
          </w:p>
        </w:tc>
      </w:tr>
    </w:tbl>
    <w:p w:rsidR="001C147E" w:rsidRPr="00652438" w:rsidRDefault="001C147E" w:rsidP="001C147E">
      <w:pPr>
        <w:spacing w:before="120"/>
        <w:ind w:firstLine="567"/>
        <w:jc w:val="both"/>
      </w:pPr>
      <w:r w:rsidRPr="00652438">
        <w:t>Однако авторы</w:t>
      </w:r>
      <w:r>
        <w:t xml:space="preserve">, </w:t>
      </w:r>
      <w:r w:rsidRPr="00652438">
        <w:t>основываясь на исследованиях в условиях пониженного атмосферного давления обычных людей</w:t>
      </w:r>
      <w:r>
        <w:t xml:space="preserve">, </w:t>
      </w:r>
      <w:r w:rsidRPr="00652438">
        <w:t>делают интересный вывод: зрелый возраст не помеха для физически здоровых людей выполнять физическую нагрузку в условиях высокогорья. Как перенесут эти условия спортсмены</w:t>
      </w:r>
      <w:r>
        <w:t xml:space="preserve">, </w:t>
      </w:r>
      <w:r w:rsidRPr="00652438">
        <w:t>они не изучали</w:t>
      </w:r>
      <w:r>
        <w:t xml:space="preserve">, </w:t>
      </w:r>
      <w:r w:rsidRPr="00652438">
        <w:t>но предполагают</w:t>
      </w:r>
      <w:r>
        <w:t xml:space="preserve">, </w:t>
      </w:r>
      <w:r w:rsidRPr="00652438">
        <w:t>что регулярные физические нагрузки в какой-то степени снизят степень их воздействия на организм пожилых людей.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Анализ результатов выступлений лыжников ветеранов. В табл. 1 представлены дистанции (в км)</w:t>
      </w:r>
      <w:r>
        <w:t xml:space="preserve">, </w:t>
      </w:r>
      <w:r w:rsidRPr="00652438">
        <w:t>возрастные группы и порядок стартов (Чемпионат мира-2006 в Брюссоне).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Спортсмены в каждый день соревнований имели право выбора стиля бега</w:t>
      </w:r>
      <w:r>
        <w:t xml:space="preserve"> - </w:t>
      </w:r>
      <w:r w:rsidRPr="00652438">
        <w:t>классический или свободный.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Таким образом</w:t>
      </w:r>
      <w:r>
        <w:t xml:space="preserve">, </w:t>
      </w:r>
      <w:r w:rsidRPr="00652438">
        <w:t>в течение одной недели лыжники-гонщики в непростых условиях среднегорья участвовали в трех довольно сложных соревнованиях. Кроме того</w:t>
      </w:r>
      <w:r>
        <w:t xml:space="preserve">, </w:t>
      </w:r>
      <w:r w:rsidRPr="00652438">
        <w:t>сильнейшие из них в составе сборных команд участвовали в эстафетах.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Лыжные трассы в Брюссоне находились на высоте 1300</w:t>
      </w:r>
      <w:r>
        <w:t xml:space="preserve"> - </w:t>
      </w:r>
      <w:smartTag w:uri="urn:schemas-microsoft-com:office:smarttags" w:element="metricconverter">
        <w:smartTagPr>
          <w:attr w:name="ProductID" w:val="1700 м"/>
        </w:smartTagPr>
        <w:r w:rsidRPr="00652438">
          <w:t>1700 м</w:t>
        </w:r>
      </w:smartTag>
      <w:r>
        <w:t xml:space="preserve">, </w:t>
      </w:r>
      <w:r w:rsidRPr="00652438">
        <w:t>с учетом возраста участников они были разбиты на 3 категории сложности: А</w:t>
      </w:r>
      <w:r>
        <w:t xml:space="preserve">, </w:t>
      </w:r>
      <w:r w:rsidRPr="00652438">
        <w:t>В</w:t>
      </w:r>
      <w:r>
        <w:t xml:space="preserve">, </w:t>
      </w:r>
      <w:r w:rsidRPr="00652438">
        <w:t>С.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самой сложной категории</w:t>
      </w:r>
      <w:r>
        <w:t xml:space="preserve"> - </w:t>
      </w:r>
      <w:r w:rsidRPr="00652438">
        <w:t>А</w:t>
      </w:r>
      <w:r>
        <w:t xml:space="preserve"> - </w:t>
      </w:r>
      <w:r w:rsidRPr="00652438">
        <w:t>участвовали лыжники от 30 до 60 лет</w:t>
      </w:r>
      <w:r>
        <w:t xml:space="preserve">, </w:t>
      </w:r>
      <w:r w:rsidRPr="00652438">
        <w:t>затем в рельефе трасс были исключены некоторые сложные участки для категорий В и С (старше 60 лет и 75 лет).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марафонских дистанциях (</w:t>
      </w:r>
      <w:smartTag w:uri="urn:schemas-microsoft-com:office:smarttags" w:element="metricconverter">
        <w:smartTagPr>
          <w:attr w:name="ProductID" w:val="45 км"/>
        </w:smartTagPr>
        <w:r w:rsidRPr="00652438">
          <w:t>45 км</w:t>
        </w:r>
      </w:smartTag>
      <w:r>
        <w:t xml:space="preserve"> - </w:t>
      </w:r>
      <w:r w:rsidRPr="00652438">
        <w:t xml:space="preserve">у мужчин до 60 лет и </w:t>
      </w:r>
      <w:smartTag w:uri="urn:schemas-microsoft-com:office:smarttags" w:element="metricconverter">
        <w:smartTagPr>
          <w:attr w:name="ProductID" w:val="30 км"/>
        </w:smartTagPr>
        <w:r w:rsidRPr="00652438">
          <w:t>30 км</w:t>
        </w:r>
      </w:smartTag>
      <w:r>
        <w:t xml:space="preserve"> - </w:t>
      </w:r>
      <w:r w:rsidRPr="00652438">
        <w:t xml:space="preserve">до 75 лет) все участники бежали по одной трассе категории В (круг </w:t>
      </w:r>
      <w:smartTag w:uri="urn:schemas-microsoft-com:office:smarttags" w:element="metricconverter">
        <w:smartTagPr>
          <w:attr w:name="ProductID" w:val="15 км"/>
        </w:smartTagPr>
        <w:r w:rsidRPr="00652438">
          <w:t>15 км</w:t>
        </w:r>
      </w:smartTag>
      <w:r w:rsidRPr="00652438">
        <w:t>).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Однако самым сложным в горных условиях</w:t>
      </w:r>
      <w:r>
        <w:t xml:space="preserve">, </w:t>
      </w:r>
      <w:r w:rsidRPr="00652438">
        <w:t>как показал опыт выступления в ветеранских соревнованиях</w:t>
      </w:r>
      <w:r>
        <w:t xml:space="preserve">, </w:t>
      </w:r>
      <w:r w:rsidRPr="00652438">
        <w:t>является не рельеф трасс</w:t>
      </w:r>
      <w:r>
        <w:t xml:space="preserve">, </w:t>
      </w:r>
      <w:r w:rsidRPr="00652438">
        <w:t>а условия среднегорья и отсутствие времени адаптации к ним. Известно</w:t>
      </w:r>
      <w:r>
        <w:t xml:space="preserve">, </w:t>
      </w:r>
      <w:r w:rsidRPr="00652438">
        <w:t>что необходимое время для адаптации</w:t>
      </w:r>
      <w:r>
        <w:t xml:space="preserve"> - </w:t>
      </w:r>
      <w:r w:rsidRPr="00652438">
        <w:t>10</w:t>
      </w:r>
      <w:r>
        <w:t xml:space="preserve"> - </w:t>
      </w:r>
      <w:r w:rsidRPr="00652438">
        <w:t>12 дней. Большинство спортсменов приехали на соревнования всего за несколько дней до первых стартов</w:t>
      </w:r>
      <w:r>
        <w:t xml:space="preserve">, </w:t>
      </w:r>
      <w:r w:rsidRPr="00652438">
        <w:t>и марафонская дистанция</w:t>
      </w:r>
      <w:r>
        <w:t xml:space="preserve">, </w:t>
      </w:r>
      <w:r w:rsidRPr="00652438">
        <w:t>проводимая в последний день соревнований</w:t>
      </w:r>
      <w:r>
        <w:t xml:space="preserve">, </w:t>
      </w:r>
      <w:r w:rsidRPr="00652438">
        <w:t>приходилась лишь на 10-12-й день.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Конечно</w:t>
      </w:r>
      <w:r>
        <w:t xml:space="preserve">, </w:t>
      </w:r>
      <w:r w:rsidRPr="00652438">
        <w:t>среди лыжников-ветеранов много опытных спортсменов</w:t>
      </w:r>
      <w:r>
        <w:t xml:space="preserve">, </w:t>
      </w:r>
      <w:r w:rsidRPr="00652438">
        <w:t>однако они практически не имеют стажа горной подготовки</w:t>
      </w:r>
      <w:r>
        <w:t xml:space="preserve">, </w:t>
      </w:r>
      <w:r w:rsidRPr="00652438">
        <w:t>особенно важной на таких турнирах.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 xml:space="preserve">На рис. 1 приводится количество участников в гонке на </w:t>
      </w:r>
      <w:smartTag w:uri="urn:schemas-microsoft-com:office:smarttags" w:element="metricconverter">
        <w:smartTagPr>
          <w:attr w:name="ProductID" w:val="10 км"/>
        </w:smartTagPr>
        <w:r w:rsidRPr="00652438">
          <w:t>10 км</w:t>
        </w:r>
      </w:smartTag>
      <w:r w:rsidRPr="00652438">
        <w:t xml:space="preserve"> классическим стилем в различных возрастных группах (</w:t>
      </w:r>
      <w:smartTag w:uri="urn:schemas-microsoft-com:office:smarttags" w:element="metricconverter">
        <w:smartTagPr>
          <w:attr w:name="ProductID" w:val="5 км"/>
        </w:smartTagPr>
        <w:r w:rsidRPr="00652438">
          <w:t>5 км</w:t>
        </w:r>
      </w:smartTag>
      <w:r w:rsidRPr="00652438">
        <w:t xml:space="preserve"> для 10-12-й групп)</w:t>
      </w:r>
      <w:r>
        <w:t xml:space="preserve">, </w:t>
      </w:r>
      <w:r w:rsidRPr="00652438">
        <w:t>закончивших дистанцию.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Налицо постепенное увеличение количества участников с 1-й по 7-ю возрастную группу (с 30 до 64 лет)</w:t>
      </w:r>
      <w:r>
        <w:t xml:space="preserve">, </w:t>
      </w:r>
      <w:r w:rsidRPr="00652438">
        <w:t>затем снижение в 8-9-й группах (65-74 года) и резкое уменьшение количества участников 10</w:t>
      </w:r>
      <w:r>
        <w:t xml:space="preserve"> - </w:t>
      </w:r>
      <w:r w:rsidRPr="00652438">
        <w:t>12-й групп.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Малое количество участников 1-2-й возрастных групп можно объяснить двумя причинами. Вопервых</w:t>
      </w:r>
      <w:r>
        <w:t xml:space="preserve">, </w:t>
      </w:r>
      <w:r w:rsidRPr="00652438">
        <w:t>в 30 лет сильнейшие лыжники еще с успехом соревнуются в национальных командах. Ярким подтверждением этому служит победа на зимней Олимпиаде-2006 мужской эстафетной команды Италии</w:t>
      </w:r>
      <w:r>
        <w:t xml:space="preserve">, </w:t>
      </w:r>
      <w:r w:rsidRPr="00652438">
        <w:t xml:space="preserve">все четыре участника которой были старше 30 лет. В 39 лет М. Ботвинов (Австрия) стал бронзовым призером в гонке на </w:t>
      </w:r>
      <w:smartTag w:uri="urn:schemas-microsoft-com:office:smarttags" w:element="metricconverter">
        <w:smartTagPr>
          <w:attr w:name="ProductID" w:val="50 км"/>
        </w:smartTagPr>
        <w:r w:rsidRPr="00652438">
          <w:t>50 км</w:t>
        </w:r>
      </w:smartTag>
      <w:r w:rsidRPr="00652438">
        <w:t>. Такие спортсмены имеют право участвовать в любительских соревнованиях только спустя 2 года после окончания выступлений за национальные команды (например</w:t>
      </w:r>
      <w:r>
        <w:t xml:space="preserve">, </w:t>
      </w:r>
      <w:r w:rsidRPr="00652438">
        <w:t>Вл. Леготин много лет был в составе сборной России</w:t>
      </w:r>
      <w:r>
        <w:t xml:space="preserve">, </w:t>
      </w:r>
      <w:r w:rsidRPr="00652438">
        <w:t>сейчас он выступает среди ветеранов). Во-вторых</w:t>
      </w:r>
      <w:r>
        <w:t xml:space="preserve">, </w:t>
      </w:r>
      <w:r w:rsidRPr="00652438">
        <w:t>к 30 годам мало кто еще "встал на ноги" и имеет определенный достаток</w:t>
      </w:r>
      <w:r>
        <w:t xml:space="preserve">, </w:t>
      </w:r>
      <w:r w:rsidRPr="00652438">
        <w:t>позволяющий ему участвовать в столь дорогих мероприятиях за свой счет. Поэтому в рассматриваемой да и во многих других возрастных группах развивается спонсорская помощь.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 xml:space="preserve">Таблица 2. Результатов в гонке на </w:t>
      </w:r>
      <w:smartTag w:uri="urn:schemas-microsoft-com:office:smarttags" w:element="metricconverter">
        <w:smartTagPr>
          <w:attr w:name="ProductID" w:val="10 км"/>
        </w:smartTagPr>
        <w:r w:rsidRPr="00652438">
          <w:t>10 км</w:t>
        </w:r>
      </w:smartTag>
      <w:r w:rsidRPr="00652438">
        <w:t xml:space="preserve"> классическим стилем.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864"/>
        <w:gridCol w:w="814"/>
        <w:gridCol w:w="866"/>
        <w:gridCol w:w="816"/>
        <w:gridCol w:w="866"/>
        <w:gridCol w:w="816"/>
        <w:gridCol w:w="866"/>
        <w:gridCol w:w="816"/>
        <w:gridCol w:w="864"/>
      </w:tblGrid>
      <w:tr w:rsidR="001C147E" w:rsidRPr="00652438" w:rsidTr="0007754F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Возраст </w:t>
            </w:r>
          </w:p>
          <w:p w:rsidR="001C147E" w:rsidRPr="00652438" w:rsidRDefault="001C147E" w:rsidP="0007754F">
            <w:r w:rsidRPr="00652438">
              <w:t>Показатели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1 </w:t>
            </w:r>
          </w:p>
          <w:p w:rsidR="001C147E" w:rsidRPr="00652438" w:rsidRDefault="001C147E" w:rsidP="0007754F">
            <w:r w:rsidRPr="00652438">
              <w:t>(30-34 года)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2 </w:t>
            </w:r>
          </w:p>
          <w:p w:rsidR="001C147E" w:rsidRPr="00652438" w:rsidRDefault="001C147E" w:rsidP="0007754F">
            <w:r w:rsidRPr="00652438">
              <w:t>(35-39 лет)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3 </w:t>
            </w:r>
          </w:p>
          <w:p w:rsidR="001C147E" w:rsidRPr="00652438" w:rsidRDefault="001C147E" w:rsidP="0007754F">
            <w:r w:rsidRPr="00652438">
              <w:t>(40-44 года)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4 </w:t>
            </w:r>
          </w:p>
          <w:p w:rsidR="001C147E" w:rsidRPr="00652438" w:rsidRDefault="001C147E" w:rsidP="0007754F">
            <w:r w:rsidRPr="00652438">
              <w:t>(45-49 лет)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5 </w:t>
            </w:r>
          </w:p>
          <w:p w:rsidR="001C147E" w:rsidRPr="00652438" w:rsidRDefault="001C147E" w:rsidP="0007754F">
            <w:r w:rsidRPr="00652438">
              <w:t>(50-54 года)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6</w:t>
            </w:r>
          </w:p>
          <w:p w:rsidR="001C147E" w:rsidRPr="00652438" w:rsidRDefault="001C147E" w:rsidP="0007754F">
            <w:r w:rsidRPr="00652438">
              <w:t>(55-59 лет)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7 </w:t>
            </w:r>
          </w:p>
          <w:p w:rsidR="001C147E" w:rsidRPr="00652438" w:rsidRDefault="001C147E" w:rsidP="0007754F">
            <w:r w:rsidRPr="00652438">
              <w:t>(60-64 года)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8 </w:t>
            </w:r>
          </w:p>
          <w:p w:rsidR="001C147E" w:rsidRPr="00652438" w:rsidRDefault="001C147E" w:rsidP="0007754F">
            <w:r w:rsidRPr="00652438">
              <w:t>(65-69 лет)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 xml:space="preserve">9 </w:t>
            </w:r>
          </w:p>
          <w:p w:rsidR="001C147E" w:rsidRPr="00652438" w:rsidRDefault="001C147E" w:rsidP="0007754F">
            <w:r w:rsidRPr="00652438">
              <w:t>(70-74 года)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Лучшее время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25.32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23.48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25.13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26.06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26.00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27.00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28.15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28.53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31.57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Среднее время (по 10 лучшим)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26.38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24.54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25.54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26.25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27.12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28.28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29.01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31.00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33.53</w:t>
            </w:r>
          </w:p>
        </w:tc>
      </w:tr>
      <w:tr w:rsidR="001C147E" w:rsidRPr="00652438" w:rsidTr="0007754F">
        <w:trPr>
          <w:tblCellSpacing w:w="0" w:type="dxa"/>
        </w:trPr>
        <w:tc>
          <w:tcPr>
            <w:tcW w:w="107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Количество участников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12</w:t>
            </w:r>
          </w:p>
        </w:tc>
        <w:tc>
          <w:tcPr>
            <w:tcW w:w="4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24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34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39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53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51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54</w:t>
            </w:r>
          </w:p>
        </w:tc>
        <w:tc>
          <w:tcPr>
            <w:tcW w:w="4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147E" w:rsidRPr="00652438" w:rsidRDefault="001C147E" w:rsidP="0007754F">
            <w:r w:rsidRPr="00652438">
              <w:t>41</w:t>
            </w:r>
          </w:p>
        </w:tc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C147E" w:rsidRPr="00652438" w:rsidRDefault="001C147E" w:rsidP="0007754F">
            <w:r w:rsidRPr="00652438">
              <w:t>37</w:t>
            </w:r>
          </w:p>
        </w:tc>
      </w:tr>
    </w:tbl>
    <w:p w:rsidR="001C147E" w:rsidRPr="00652438" w:rsidRDefault="001C147E" w:rsidP="001C147E">
      <w:pPr>
        <w:spacing w:before="120"/>
        <w:ind w:firstLine="567"/>
        <w:jc w:val="both"/>
      </w:pPr>
      <w:r w:rsidRPr="00652438">
        <w:t>В 7</w:t>
      </w:r>
      <w:r>
        <w:t xml:space="preserve"> - </w:t>
      </w:r>
      <w:r w:rsidRPr="00652438">
        <w:t>9-й группах</w:t>
      </w:r>
      <w:r>
        <w:t xml:space="preserve">, </w:t>
      </w:r>
      <w:r w:rsidRPr="00652438">
        <w:t>судя по количеству участников</w:t>
      </w:r>
      <w:r>
        <w:t xml:space="preserve">, </w:t>
      </w:r>
      <w:r w:rsidRPr="00652438">
        <w:t>еще чувствуется спортивных дух</w:t>
      </w:r>
      <w:r>
        <w:t xml:space="preserve">, </w:t>
      </w:r>
      <w:r w:rsidRPr="00652438">
        <w:t>который резко ослабляется в 10-12-й группах. Главная причина</w:t>
      </w:r>
      <w:r>
        <w:t xml:space="preserve"> - </w:t>
      </w:r>
      <w:r w:rsidRPr="00652438">
        <w:t>наступление старости со всеми вытекающими отсюда последствиями.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Особо следует отметить</w:t>
      </w:r>
      <w:r>
        <w:t xml:space="preserve">, </w:t>
      </w:r>
      <w:r w:rsidRPr="00652438">
        <w:t xml:space="preserve">что гонка на </w:t>
      </w:r>
      <w:smartTag w:uri="urn:schemas-microsoft-com:office:smarttags" w:element="metricconverter">
        <w:smartTagPr>
          <w:attr w:name="ProductID" w:val="10 км"/>
        </w:smartTagPr>
        <w:r w:rsidRPr="00652438">
          <w:t>10 км</w:t>
        </w:r>
      </w:smartTag>
      <w:r w:rsidRPr="00652438">
        <w:t xml:space="preserve"> для всех участников с 1-й по 9-ю группу включительно проводилась по одной трассе (В)</w:t>
      </w:r>
      <w:r>
        <w:t xml:space="preserve">, </w:t>
      </w:r>
      <w:r w:rsidRPr="00652438">
        <w:t>практически в одинаковых температурных условиях. Таким образом</w:t>
      </w:r>
      <w:r>
        <w:t xml:space="preserve">, </w:t>
      </w:r>
      <w:r w:rsidRPr="00652438">
        <w:t>мы смогли получить объективную картину результатов в различных возрастных группах и сравнить их между собой.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 табл. 2 и на рис. 2 представлены лучшие результаты в возрастных группах (1-9-й)</w:t>
      </w:r>
      <w:r>
        <w:t xml:space="preserve">, </w:t>
      </w:r>
      <w:r w:rsidRPr="00652438">
        <w:t>а также средние показатели по 10 лучшим результатам в каждой группе.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Мы можем наблюдать ряд закономерностей: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в группах более молодых лыжников</w:t>
      </w:r>
      <w:r>
        <w:t xml:space="preserve">, </w:t>
      </w:r>
      <w:r w:rsidRPr="00652438">
        <w:t>мастерство которых</w:t>
      </w:r>
      <w:r>
        <w:t xml:space="preserve">, </w:t>
      </w:r>
      <w:r w:rsidRPr="00652438">
        <w:t>как правило</w:t>
      </w:r>
      <w:r>
        <w:t xml:space="preserve">, </w:t>
      </w:r>
      <w:r w:rsidRPr="00652438">
        <w:t>выше</w:t>
      </w:r>
      <w:r>
        <w:t xml:space="preserve">, </w:t>
      </w:r>
      <w:r w:rsidRPr="00652438">
        <w:t>меньше разница в результатах победителя и первой десятки лучших;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эта тенденция довольно стабильна до 5-й группы;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начиная с 5-й группы</w:t>
      </w:r>
      <w:r>
        <w:t xml:space="preserve">, </w:t>
      </w:r>
      <w:r w:rsidRPr="00652438">
        <w:t>т. е. практически с 50 лет средний уровень результатов начинает ухудшаться</w:t>
      </w:r>
      <w:r>
        <w:t xml:space="preserve">, </w:t>
      </w:r>
      <w:r w:rsidRPr="00652438">
        <w:t>удаление средних результатов от победителя в группах становится заметнее</w:t>
      </w:r>
      <w:r>
        <w:t xml:space="preserve">, </w:t>
      </w:r>
      <w:r w:rsidRPr="00652438">
        <w:t>что говорит об общей тенденции снижения результатов после 50 лет в каждой последующей возрастной группе.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Выводы и рекомендации. Опыт проведения Чемпионата мира-2006 в Брюссоне в условиях среднегорья</w:t>
      </w:r>
      <w:r>
        <w:t xml:space="preserve">, </w:t>
      </w:r>
      <w:r w:rsidRPr="00652438">
        <w:t>в котором участвовали лыжники всех возрастных групп (1-12-й)</w:t>
      </w:r>
      <w:r>
        <w:t xml:space="preserve">, </w:t>
      </w:r>
      <w:r w:rsidRPr="00652438">
        <w:t>показал следующее: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в ветеранских лыжных гонках можно показать высокие результаты и соревноваться с относительно молодыми спортсменами из других групп с 30 до 50 лет (1-4-2-й);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начиная с 5-й группы (с 50 лет) и до 8-й включительно (до 69 лет) результаты в каждой последующей группе заметно ухудшаются;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после 70 лет (т. е. с 9-й группы) наблюдается резкое ухудшение результатов. Эта тенденция обусловлена главным образом возрастными изменениями и увеличивающимися с годами проблемами со здоровьем.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возраст не является помехой для участия в соревнованиях по лыжным гонкам в условиях среднегорья (1300-</w:t>
      </w:r>
      <w:smartTag w:uri="urn:schemas-microsoft-com:office:smarttags" w:element="metricconverter">
        <w:smartTagPr>
          <w:attr w:name="ProductID" w:val="1700 м"/>
        </w:smartTagPr>
        <w:r w:rsidRPr="00652438">
          <w:t>1700 м</w:t>
        </w:r>
      </w:smartTag>
      <w:r w:rsidRPr="00652438">
        <w:t>);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отдельные случаи резкого ухудшения состояния здоровья в горах вызваны индивидуальными особенностями личности и здоровья спортсмена</w:t>
      </w:r>
      <w:r>
        <w:t xml:space="preserve">, </w:t>
      </w:r>
      <w:r w:rsidRPr="00652438">
        <w:t>отсутствием или недостаточной по срокам акклиматизацией;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выступления в соревнованиях в период острой акклиматизации (3-5-й день) могут вызвать чрезмерное физическое и нервно-психическое утомление</w:t>
      </w:r>
      <w:r>
        <w:t xml:space="preserve">, </w:t>
      </w:r>
      <w:r w:rsidRPr="00652438">
        <w:t>что приводит в дальнейшем к сильному истощению организма и недовосстановлению к последующим стартам; как вариант в таком случае</w:t>
      </w:r>
      <w:r>
        <w:t xml:space="preserve"> - </w:t>
      </w:r>
      <w:r w:rsidRPr="00652438">
        <w:t>предварительная адаптация к горным условиям или прохождение дистанции в щадящем режиме;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- у лыжников-ветеранов</w:t>
      </w:r>
      <w:r>
        <w:t xml:space="preserve">, </w:t>
      </w:r>
      <w:r w:rsidRPr="00652438">
        <w:t>особенно старших возрастных групп</w:t>
      </w:r>
      <w:r>
        <w:t xml:space="preserve">, </w:t>
      </w:r>
      <w:r w:rsidRPr="00652438">
        <w:t>медленнее</w:t>
      </w:r>
      <w:r>
        <w:t xml:space="preserve">, </w:t>
      </w:r>
      <w:r w:rsidRPr="00652438">
        <w:t>чем у более молодых спортсменов</w:t>
      </w:r>
      <w:r>
        <w:t xml:space="preserve">, </w:t>
      </w:r>
      <w:r w:rsidRPr="00652438">
        <w:t>идут процессы восстановления после каждого старта</w:t>
      </w:r>
      <w:r>
        <w:t xml:space="preserve">, </w:t>
      </w:r>
      <w:r w:rsidRPr="00652438">
        <w:t>и это важно учитывать при подготовке к чемпионатам мира среди лыжников-ветеранов</w:t>
      </w:r>
      <w:r>
        <w:t xml:space="preserve">, </w:t>
      </w:r>
      <w:r w:rsidRPr="00652438">
        <w:t>где в течение одной недели они стартуют 4 дня</w:t>
      </w:r>
      <w:r>
        <w:t xml:space="preserve"> - </w:t>
      </w:r>
      <w:r w:rsidRPr="00652438">
        <w:t xml:space="preserve">в трех гонках и эстафете. </w:t>
      </w:r>
    </w:p>
    <w:p w:rsidR="001C147E" w:rsidRPr="00652438" w:rsidRDefault="001C147E" w:rsidP="001C147E">
      <w:pPr>
        <w:spacing w:before="120"/>
        <w:ind w:firstLine="567"/>
        <w:jc w:val="both"/>
      </w:pPr>
      <w:r w:rsidRPr="00652438">
        <w:t>Особо следует подчеркнуть</w:t>
      </w:r>
      <w:r>
        <w:t xml:space="preserve">, </w:t>
      </w:r>
      <w:r w:rsidRPr="00652438">
        <w:t>что лучшая подготовка в равнинных условиях и предварительная адаптация в горах могут в значительной степени способствовать успешному выступлению лыжников-ветеранов в условиях среднегорья.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47E"/>
    <w:rsid w:val="0007754F"/>
    <w:rsid w:val="001A35F6"/>
    <w:rsid w:val="001C147E"/>
    <w:rsid w:val="005966BE"/>
    <w:rsid w:val="00652438"/>
    <w:rsid w:val="00811DD4"/>
    <w:rsid w:val="00CF63E9"/>
    <w:rsid w:val="00E9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05C61F6-BE6C-465B-8E06-95C3D515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47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2405</Words>
  <Characters>13713</Characters>
  <Application>Microsoft Office Word</Application>
  <DocSecurity>0</DocSecurity>
  <Lines>114</Lines>
  <Paragraphs>32</Paragraphs>
  <ScaleCrop>false</ScaleCrop>
  <Company>Home</Company>
  <LinksUpToDate>false</LinksUpToDate>
  <CharactersWithSpaces>16086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Лыжные гонки ветеранов в условиях среднегорья</dc:title>
  <dc:subject/>
  <dc:creator>User</dc:creator>
  <cp:keywords/>
  <dc:description/>
  <cp:lastModifiedBy>Irina</cp:lastModifiedBy>
  <cp:revision>2</cp:revision>
  <dcterms:created xsi:type="dcterms:W3CDTF">2014-09-18T01:18:00Z</dcterms:created>
  <dcterms:modified xsi:type="dcterms:W3CDTF">2014-09-18T01:18:00Z</dcterms:modified>
</cp:coreProperties>
</file>