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3E" w:rsidRDefault="0003403E" w:rsidP="00282E9D">
      <w:pPr>
        <w:pStyle w:val="a3"/>
        <w:rPr>
          <w:rFonts w:ascii="Arial" w:hAnsi="Arial" w:cs="Arial"/>
          <w:color w:val="203463"/>
          <w:sz w:val="20"/>
          <w:szCs w:val="20"/>
        </w:rPr>
      </w:pPr>
    </w:p>
    <w:p w:rsidR="00FD0796" w:rsidRDefault="00FD0796" w:rsidP="00282E9D">
      <w:pPr>
        <w:pStyle w:val="a3"/>
        <w:rPr>
          <w:rFonts w:ascii="Arial" w:hAnsi="Arial" w:cs="Arial"/>
          <w:color w:val="203463"/>
          <w:sz w:val="20"/>
          <w:szCs w:val="20"/>
        </w:rPr>
      </w:pPr>
      <w:r>
        <w:rPr>
          <w:rFonts w:ascii="Arial" w:hAnsi="Arial" w:cs="Arial"/>
          <w:color w:val="203463"/>
          <w:sz w:val="20"/>
          <w:szCs w:val="20"/>
        </w:rPr>
        <w:t>Туристско-рекреационная деятельность, как часть непроизводственной сферы деятельности, занимает все более важное место в мировой экономике. Эта тенденция распространяется и на многие регионы России.</w:t>
      </w:r>
    </w:p>
    <w:p w:rsidR="00FD0796" w:rsidRDefault="00FD0796" w:rsidP="00282E9D">
      <w:pPr>
        <w:pStyle w:val="a3"/>
        <w:rPr>
          <w:rFonts w:ascii="Arial" w:hAnsi="Arial" w:cs="Arial"/>
          <w:color w:val="203463"/>
          <w:sz w:val="20"/>
          <w:szCs w:val="20"/>
        </w:rPr>
      </w:pPr>
      <w:r>
        <w:rPr>
          <w:rFonts w:ascii="Arial" w:hAnsi="Arial" w:cs="Arial"/>
          <w:color w:val="203463"/>
          <w:sz w:val="20"/>
          <w:szCs w:val="20"/>
        </w:rPr>
        <w:t>В связи с утратой прежде наиболее значимых рекреационно-туристических территорий (в Крыму, Закавказье, Прибалтике и др.), возрастает значение многих внутрироссийских рекреационных территорий, по меньшей мере, в качестве туристско-рекреационной дестинации для большинства местных жителей, жителей крупных и крупнейших городов России. Все это позволяет оценить рекреационно-туристическую сферу хозяйственной деятельности Брянской области, по многим факторам как весьма важную и перспективную.</w:t>
      </w:r>
    </w:p>
    <w:p w:rsidR="00FD0796" w:rsidRDefault="00FD0796" w:rsidP="00282E9D">
      <w:pPr>
        <w:pStyle w:val="a3"/>
        <w:rPr>
          <w:rFonts w:ascii="Arial" w:hAnsi="Arial" w:cs="Arial"/>
          <w:color w:val="203463"/>
          <w:sz w:val="20"/>
          <w:szCs w:val="20"/>
        </w:rPr>
      </w:pPr>
      <w:r>
        <w:rPr>
          <w:rFonts w:ascii="Arial" w:hAnsi="Arial" w:cs="Arial"/>
          <w:color w:val="203463"/>
          <w:sz w:val="20"/>
          <w:szCs w:val="20"/>
        </w:rPr>
        <w:t>Брянская область характеризуются благоприятными природно-климатическими условиями в летний сезон, и с учетом других физико-географических характеристик отнесена к территориям, относительно благоприятным для организации рекреационной. Географическое положение области на западе Европейской части России, в 450 км к юго-западу от Москвы позволяет отнести часть его территории к периферийной зоне обширного центрально-европейского рекреационного региона. При этом северо-восточная часть Брянской области, в т.ч. территории вдоль рек Десна и Болва, еще десятки лет назад была зарезервирована на перспективу для развития санаторного лечения, отдыха и туризма. В настоящее время значительная часть территории области непригодна для рекреационного использования вследствие загрязнения в результате аварии на ЧАЭС в 1986 г.</w:t>
      </w:r>
    </w:p>
    <w:p w:rsidR="00FD0796" w:rsidRDefault="00FD0796" w:rsidP="00282E9D">
      <w:pPr>
        <w:pStyle w:val="a3"/>
        <w:rPr>
          <w:rFonts w:ascii="Arial" w:hAnsi="Arial" w:cs="Arial"/>
          <w:color w:val="203463"/>
          <w:sz w:val="20"/>
          <w:szCs w:val="20"/>
        </w:rPr>
      </w:pPr>
      <w:r>
        <w:rPr>
          <w:rFonts w:ascii="Arial" w:hAnsi="Arial" w:cs="Arial"/>
          <w:color w:val="203463"/>
          <w:sz w:val="20"/>
          <w:szCs w:val="20"/>
        </w:rPr>
        <w:t>Территория области характеризуется наличием сохранившихся в малоизмененном виде уникальных и ценных в экологическом плане природных территорий. Через область в меридиональном направлении протекает крупная река Десна, приток Днепра, которая выступает в качестве основного экологического коридора Брянской области. Эта природная ось включает крупнейшую ООПТ области федерального значения - заповедник «Брянский лес», а также малоизмененные территории поймы Десны, являющиеся приоритетными эколого-туристскими дестинациями. В перспективе природное наследие Брянщины станет неотъемлемой составляющей международной (создание общего экологического коридора с Украиной), а также межрегиональной природной системы, включающей ООПТ прилегающих регионов – заповедник «Калужские Засеки», национальный парк «Орловское Полесье» и др.</w:t>
      </w:r>
    </w:p>
    <w:p w:rsidR="00FD0796" w:rsidRDefault="00FD0796" w:rsidP="00282E9D">
      <w:pPr>
        <w:pStyle w:val="a3"/>
        <w:rPr>
          <w:rFonts w:ascii="Arial" w:hAnsi="Arial" w:cs="Arial"/>
          <w:color w:val="203463"/>
          <w:sz w:val="20"/>
          <w:szCs w:val="20"/>
        </w:rPr>
      </w:pPr>
      <w:r>
        <w:rPr>
          <w:rFonts w:ascii="Arial" w:hAnsi="Arial" w:cs="Arial"/>
          <w:color w:val="203463"/>
          <w:sz w:val="20"/>
          <w:szCs w:val="20"/>
        </w:rPr>
        <w:t>Привлекательны лечебные рекреационные ресурсы Брянской области, представленные 7 месторождениями разнообразных минеральных вод, а также лечебными грязями. Курортно-оздоровительными центрами местного значения являются (неутвержденные законодательно в качестве курортов): Белобережская Пустошь (Брянский район), г. Жуковка и окрестности, г. Клинцы и окрестности и др.</w:t>
      </w:r>
    </w:p>
    <w:p w:rsidR="00FD0796" w:rsidRDefault="00FD0796" w:rsidP="00282E9D">
      <w:pPr>
        <w:pStyle w:val="a3"/>
        <w:rPr>
          <w:rFonts w:ascii="Arial" w:hAnsi="Arial" w:cs="Arial"/>
          <w:color w:val="203463"/>
          <w:sz w:val="20"/>
          <w:szCs w:val="20"/>
        </w:rPr>
      </w:pPr>
      <w:r>
        <w:rPr>
          <w:rFonts w:ascii="Arial" w:hAnsi="Arial" w:cs="Arial"/>
          <w:color w:val="203463"/>
          <w:sz w:val="20"/>
          <w:szCs w:val="20"/>
        </w:rPr>
        <w:t>Туристско-рекреационная структура области включает 4 туристско-рекреационных района (дестинации), образуемых путем включения муниципальных районов (табл. 4): Брянский, Трубчевский, Стародубский и Новозыбковский. Центрами туристско-рекреационных районов выступают исторические города, в которых имеются крупные ансамбли и комплексы памятников истории и культуры, сохраняется традиционная среда проживания и народная культура. Основные учреждения туризма и отдыха рекомендуется размещать в исторических городах, в сохранившихся исторических усадьбах.</w:t>
      </w:r>
    </w:p>
    <w:p w:rsidR="00FD0796" w:rsidRDefault="00FD0796" w:rsidP="00282E9D">
      <w:pPr>
        <w:pStyle w:val="a3"/>
        <w:rPr>
          <w:rFonts w:ascii="Arial" w:hAnsi="Arial" w:cs="Arial"/>
          <w:color w:val="203463"/>
          <w:sz w:val="20"/>
          <w:szCs w:val="20"/>
        </w:rPr>
      </w:pPr>
      <w:r>
        <w:rPr>
          <w:rFonts w:ascii="Arial" w:hAnsi="Arial" w:cs="Arial"/>
          <w:color w:val="203463"/>
          <w:sz w:val="20"/>
          <w:szCs w:val="20"/>
        </w:rPr>
        <w:t>Помимо туристско-рекреационных центров выделяются локальные узлы туристской активности – существующие и перспективные маршрутно-опорные центры. Здесь располагаются объекты, наиболее интересные для посещения в силу высокого историко-культурного или природно-рекреационного потенциала.</w:t>
      </w:r>
    </w:p>
    <w:p w:rsidR="00FD0796" w:rsidRDefault="00FD0796">
      <w:bookmarkStart w:id="0" w:name="_GoBack"/>
      <w:bookmarkEnd w:id="0"/>
    </w:p>
    <w:sectPr w:rsidR="00FD0796" w:rsidSect="00BD4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E9D"/>
    <w:rsid w:val="0003403E"/>
    <w:rsid w:val="00282E9D"/>
    <w:rsid w:val="002A0B6F"/>
    <w:rsid w:val="00444AAF"/>
    <w:rsid w:val="00666D93"/>
    <w:rsid w:val="00BD4399"/>
    <w:rsid w:val="00DE6808"/>
    <w:rsid w:val="00FD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B58C2-70DF-4EC1-B7E4-CEC65C6C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39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282E9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Туристско-рекреационная деятельность, как часть непроизводственной сферы деятельности, занимает все более важное место в мировой экономике</vt:lpstr>
    </vt:vector>
  </TitlesOfParts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Туристско-рекреационная деятельность, как часть непроизводственной сферы деятельности, занимает все более важное место в мировой экономике</dc:title>
  <dc:subject/>
  <dc:creator>ксения</dc:creator>
  <cp:keywords/>
  <dc:description/>
  <cp:lastModifiedBy>admin</cp:lastModifiedBy>
  <cp:revision>2</cp:revision>
  <dcterms:created xsi:type="dcterms:W3CDTF">2014-05-19T22:16:00Z</dcterms:created>
  <dcterms:modified xsi:type="dcterms:W3CDTF">2014-05-19T22:16:00Z</dcterms:modified>
</cp:coreProperties>
</file>