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44" w:rsidRDefault="00F64444" w:rsidP="009B7C05">
      <w:pPr>
        <w:jc w:val="center"/>
        <w:rPr>
          <w:rFonts w:ascii="Times New Roman" w:hAnsi="Times New Roman"/>
          <w:b/>
          <w:sz w:val="32"/>
          <w:szCs w:val="32"/>
        </w:rPr>
      </w:pPr>
    </w:p>
    <w:p w:rsidR="004C16E4" w:rsidRDefault="009B7C05" w:rsidP="009B7C05">
      <w:pPr>
        <w:jc w:val="center"/>
        <w:rPr>
          <w:rFonts w:ascii="Times New Roman" w:hAnsi="Times New Roman"/>
          <w:b/>
          <w:sz w:val="32"/>
          <w:szCs w:val="32"/>
        </w:rPr>
      </w:pPr>
      <w:r w:rsidRPr="009B7C05">
        <w:rPr>
          <w:rFonts w:ascii="Times New Roman" w:hAnsi="Times New Roman"/>
          <w:b/>
          <w:sz w:val="32"/>
          <w:szCs w:val="32"/>
        </w:rPr>
        <w:t>6. Первичные документы и регистры учета</w:t>
      </w:r>
    </w:p>
    <w:p w:rsidR="00A33F38" w:rsidRPr="006E5773" w:rsidRDefault="00A33F38" w:rsidP="00A33F3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Первичные учетные документы принимаются к учету, если они составлены по форме, содержащейся в альбомах унифицированных форм первичной учетной документации. Постановлением Правительства РФ от 08.07.97 № 835 «О первичных учетных документах» функции по разработке и утверждению альбомов унифицированных форм первичной учетной документации и их электронных версий возложены на Госкомстат России. Содержание и состав унифицированных форм первичной учетной документации при этом согласовываются комитетом с Минфином России и Минэкономики России.</w:t>
      </w:r>
    </w:p>
    <w:p w:rsidR="00A33F38" w:rsidRPr="006E5773" w:rsidRDefault="00A33F38" w:rsidP="00A33F3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Госкомстатом России в развитие упомянутого постановления Правительства России утверждены Порядок применения унифицированных форм первичной учетной документации, а также альбомы унифицированных форм первичной учетной документации для некоторых объектов бухгалтерского учета. В таблице приведен перечень этих постановлений.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2"/>
        <w:gridCol w:w="1290"/>
        <w:gridCol w:w="1940"/>
        <w:gridCol w:w="3413"/>
      </w:tblGrid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Объект бухгалтерского учета</w:t>
            </w:r>
          </w:p>
        </w:tc>
        <w:tc>
          <w:tcPr>
            <w:tcW w:w="67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Постановление Госкомстата России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21.01.03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основных средств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Нематериальные активы, материалы,</w:t>
            </w:r>
          </w:p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работы в капитальном строительстве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30.10.97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71а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Продукция и МПЗ в местах хранения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09.08.99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продукции, товарно-материальных ценностей в местах хранения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Учет торговых операций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25.12.98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торговых операций.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Работы строительных машин и механизмов, работы в автомобильном транспорте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28.11.97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работы строительных машин и механизмов, работ в автомобильном транспорте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Сельскохозяйственная продукция и сырье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29.09.97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сельскохозяйственной продукции и сырья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Денежные средства в кассе, результаты инвентаризации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18.08.98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кассовых операций, по учету результатов инвентаризации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Результаты инвентаризации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27.03.2000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унифицированной формы первичной учетной документации № ИНВ-26 «Ведомость учета результатов, выявленных инвентаризацией»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Денежные средства, выданные под отчет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01.08.01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унифицированной формы первичной учетной документации № АО-1 «Авансовый отчет»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Труд и его оплата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05.01.04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Об утверждении унифицированных форм первичной учетной документации по учету труда и его оплаты</w:t>
            </w:r>
          </w:p>
        </w:tc>
      </w:tr>
    </w:tbl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Отметим, что постановлением Госкомстата России от 25.12.98 № 132 утверждены альбомы унифицированных форм первичной учетной документации по учету торговых операций. А именно: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альбом унифицированных форм первичной учетной документации по учету денежных расчетов с населением при осуществлении торговых операций с применением контрольно-кассовых машин;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альбом унифицированных форм первичной учетной документации по учету торговых операций;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альбом унифицированных форм первичной учетной документации по учету торговых операций при продаже товаров в кредит и в комиссионной торговле;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альбом унифицированных форм первичной учетной документации по учету операций в общественном питании.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Из ранее утвержденных унифицированных форм первичной учетной документации постановлением Госкомстата России от 30.10.97 № 71а в настоящее время продолжают действовать формы по учету нематериальных активов, материалов, а также работ в капитальном строительстве.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После введение нового Плана счетов бухгалтерского учета финансово-хозяйственной деятельности организаций (утв. приказом Минфина России 31.10.2000 № 94н) из объектов, принимаемых к учету, исчезли малоценные и быстроизнашивающиеся предметы. Однако некоторые из таких объектов продолжают находиться на бухгалтерском учете как объекты основных средств. При их переводе для упрощения учета Минфин России от 27.12.01 № 16-00-14/573 разрешил вместо оформления по каждому из них акта (накладной) приемки - передачи основных средств по форме № ОС-1 использовать ранее применяемые унифицированные формы для МБП: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карточку учета малоценных и быстроизнашивающихся предметов (форма № МБ-2)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ведомость учета выдачи спецодежды, спецобуви и предохранительных приспособлений (форма № МБ-7).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Поэтому при списании полностью с амортизированных учтенных в составе основных средств бывших МБП, при их непригодности для дальнейшего использования, утере логично воспользоваться следующими унифицированными формами, разработанными для МБП: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актом выбытия малоценных и быстроизнашивающихся предметов (форма № МБ-4);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актом на списание малоценных и быстроизнашивающихся предметов (форма № МБ-8).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Вышеупомянутые формы, на наш взгляд, вполне уместно использовать при учете инвентаря и хозяйственных принадлежностей.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Ещё раз подчеркнем, что унифицированные формы первичной учетной документации, которые содержатся в альбомах форм, являются обязательными.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Вместе с тем в некоторых случаях организациям бывает недостаточно показателей, которые содержат эти формы, так как они не могут учесть всех видов деятельности организации, особенности технологических циклов, их структуры. В связи с этим Порядком применения унифицированных форм первичной учетной документации предусмотрено, что форматы бланков, указанных в альбомах унифицированных форм первичной учетной документации, являются рекомендуемыми и могут изменяться. Поэтому для отражения хозяйственных операций организации вправе дополнять их по своему усмотрению. Но это не касается унифицированных форм по учету кассовых операций.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Внося соответствующие изменения в унифицированные формы первичной учетной документации, утвержденные Госкомстатом России, организация должна соблюдать следующее: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все реквизиты утвержденных комитетом унифицированных форм первичной учетной документации остаются без изменения, включая код, номер формы, наименование документа;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удаление отдельных реквизитов из унифицированных форм не допускается;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вносимые изменения в унифицированные формы первичных документов должны быть оформлены соответствующим организационно-распорядительным документом организации.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Организации же, занимающиеся производством бланков унифицированных форм первичной учетной документации, при их изготовлении для удобства размещения и обработки необходимой информации могут вносить изменения в части: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расширения и сужения граф и строк с учетом значности показателей;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E5773">
        <w:rPr>
          <w:rFonts w:ascii="Times New Roman" w:hAnsi="Times New Roman"/>
          <w:color w:val="000000"/>
          <w:sz w:val="28"/>
          <w:szCs w:val="28"/>
        </w:rPr>
        <w:t xml:space="preserve">   включения дополнительных строк (включая свободных) и вкладных листов.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Помимо унифицированных форм первичных документов, утвержденных Госкомстатом России, существуют также и «ведомственные» формы первичных документов.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Так для перевозки грузов железнодорожным транспортом используется транспортная железнодорожная накладная, форма которой утверждена приказом МПС России от 18.06.03 № 39 (этим же приказом утверждены и правила её заполнения).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Default="00A33F38" w:rsidP="00A33F38">
      <w:pPr>
        <w:spacing w:after="0" w:line="285" w:lineRule="atLeast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Самостоятельно разрабатываемые формы</w:t>
      </w:r>
    </w:p>
    <w:p w:rsidR="00A33F38" w:rsidRPr="006E5773" w:rsidRDefault="00A33F38" w:rsidP="00A33F38">
      <w:pPr>
        <w:spacing w:after="0" w:line="285" w:lineRule="atLeast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Однако при многообразии производственно-хозяйственных видов деятельности встречаются и более сложные случаи, когда по тем или иным операциям унифицированные формы отсутствуют. В таком случае организация вправе разработать форму первичного документа самостоятельно. Но при этом в документе необходимо привести обязательные реквизиты, которые установлены пунктом 2 статьи 9 закона о бухгалтерском учете. Разрабатываемый документ должен содержать: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наименование документа;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дату составления документа;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наименование организации, от имени которой составлен документ;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содержание хозяйственной операции;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измерители хозяйственной операции в натуральном и денежном выражении;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наименование должностей лиц, ответственных за совершение хозяйственной операции и правильность ее оформления;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-   личные подписи указанных лиц.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Разработанные самостоятельно организацией формы первичных учетных документов, применяемых для оформления фактов хозяйственной деятельности, по которым не предусмотрены типовые унифицированные формы первичных учетных документов утверждаются при формировании её </w:t>
      </w:r>
      <w:hyperlink r:id="rId4" w:history="1">
        <w:r w:rsidRPr="00503111">
          <w:rPr>
            <w:rFonts w:ascii="Times New Roman" w:hAnsi="Times New Roman"/>
            <w:color w:val="05688D"/>
            <w:sz w:val="28"/>
            <w:szCs w:val="28"/>
            <w:u w:val="single"/>
          </w:rPr>
          <w:t>учетной политики</w:t>
        </w:r>
      </w:hyperlink>
      <w:r w:rsidRPr="00503111">
        <w:rPr>
          <w:rFonts w:ascii="Times New Roman" w:hAnsi="Times New Roman"/>
          <w:color w:val="000000"/>
          <w:sz w:val="28"/>
          <w:szCs w:val="28"/>
        </w:rPr>
        <w:t> (п. 5 ПБУ 1/2008 «</w:t>
      </w:r>
      <w:hyperlink r:id="rId5" w:history="1">
        <w:r w:rsidRPr="00503111">
          <w:rPr>
            <w:rFonts w:ascii="Times New Roman" w:hAnsi="Times New Roman"/>
            <w:color w:val="05688D"/>
            <w:sz w:val="28"/>
            <w:szCs w:val="28"/>
            <w:u w:val="single"/>
          </w:rPr>
          <w:t>Учетная политика</w:t>
        </w:r>
      </w:hyperlink>
      <w:r w:rsidRPr="00503111">
        <w:rPr>
          <w:rFonts w:ascii="Times New Roman" w:hAnsi="Times New Roman"/>
          <w:color w:val="000000"/>
          <w:sz w:val="28"/>
          <w:szCs w:val="28"/>
        </w:rPr>
        <w:t xml:space="preserve"> организации»; 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color w:val="000000"/>
          <w:sz w:val="28"/>
          <w:szCs w:val="28"/>
        </w:rPr>
        <w:t>Такими самостоятельно разработанными документами могут быть: докладные и служебные записки (обосновывающие необходимость тех или иных затрат для предпринимательской деятельности организации), дефектные ведомости и акты, обосновывающие необходимость осуществления ремонтных работ, акты по представительским расходам и т. п.</w:t>
      </w:r>
    </w:p>
    <w:p w:rsidR="00A33F38" w:rsidRPr="00503111" w:rsidRDefault="00A33F38" w:rsidP="00A33F3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03111">
        <w:rPr>
          <w:rFonts w:ascii="Times New Roman" w:hAnsi="Times New Roman"/>
          <w:b/>
          <w:bCs/>
          <w:color w:val="000000"/>
          <w:sz w:val="28"/>
          <w:szCs w:val="28"/>
        </w:rPr>
        <w:t>Пример 1 </w:t>
      </w:r>
      <w:r w:rsidRPr="00503111">
        <w:rPr>
          <w:rFonts w:ascii="Times New Roman" w:hAnsi="Times New Roman"/>
          <w:color w:val="000000"/>
          <w:sz w:val="28"/>
          <w:szCs w:val="28"/>
        </w:rPr>
        <w:t>27 сентября 2004 года ООО «Инткомплекс» были осуществлены затраты на представительские расходы. Для списания израсходованных материально-производственных запасов использован первичный документ, самостоятельно разработанный организацией.</w:t>
      </w:r>
    </w:p>
    <w:p w:rsidR="00A33F38" w:rsidRPr="006E5773" w:rsidRDefault="00A33F38" w:rsidP="00A33F38">
      <w:pPr>
        <w:spacing w:after="0" w:line="420" w:lineRule="atLeas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 w:rsidRPr="006E5773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b/>
          <w:bCs/>
          <w:color w:val="000000"/>
          <w:sz w:val="28"/>
          <w:szCs w:val="28"/>
        </w:rPr>
        <w:t>АКТ № 41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об отнесении затрат на представительские расходы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г. Москва 27 сентября 2004 г .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Мы, нижеподписавшиеся, финансовый директор Слуднов Р. М., главный бухгалтер Державец Н. В., начальник отдела Рыков В. В. настоящим Актом подтверждаем целесообразность отнесения к представительским расходам, связанным с коммерческой деятельностью, затрат на организацию приема представителей ОАО «Пасат» (г. Тула) </w:t>
      </w:r>
      <w:r w:rsidRPr="006E5773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Прием состоялся 27.09.04 в офисе ООО «Инткомплекс» по адресу: г. Москва, Ленинградский проспект, д. 47, оф. 410 в соответствии с Программой деловой встречи, утвержденной 20.09.04.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Во время встречи обсуждались вопросы по дальнейшей поставке продукции в рамках договора № 25/04-к от 29.03.04.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Участники встречи: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от ОАО «Пасат»: генеральный директор Быков И. В., заместитель директора Шеранков Д. Ю., начальник отдела Мурзин К. Л., ведущего специалиста Роман А. Л.;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от ООО «Инткомплек»: генеральный директор Слухов М. Д., финансовый директор Слуднов Р. М., начальник отдела Рыков В. В.,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Во время встречи были израсходованы следующие материально-производственные запасы: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275"/>
        <w:gridCol w:w="1845"/>
      </w:tblGrid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Колбаса «Праздничная» - 278 гр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87,57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Буженина – 198 гр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42,58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Виноводочные изделия – коньяк «Арарат»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415,00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Рыба красная «Семга» - 264 гр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67,85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Кофе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58,00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   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Конфеты - 1 кор.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135,00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Хлебобулочные изделия.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25,00 руб.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b/>
                <w:bCs/>
                <w:sz w:val="28"/>
                <w:szCs w:val="28"/>
              </w:rPr>
              <w:t>415,00 руб.</w:t>
            </w:r>
          </w:p>
        </w:tc>
      </w:tr>
    </w:tbl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Чеки, подтверждающие приобретение указанных материально-производственных запасов, прилагаются к авансовому отчету Сурковой В. В. № 98 от 27.09.04. Затраты произведены в пределах сметы, прилагаемой к Программе деловой встречи.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 процессе приема был использован электрический чайник «Tefal» первоначальной стоимостью 980 рублей (учтенный в составе основных средств), посуда стоимостью 450 руб. (учтенная в составе хозяйственных принадлежностей).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Финансовый директор ______________________ Р. М. Слуднов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Главный бухгалтер ______________________ Н. В. Державец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Начальник отдела ______________________ В. В. Рыков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___________________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Конец примера 1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Среди самостоятельно разрабатываемых первичных документов необходимо упомянуть и бухгалтерскую справку. Для бюджетных организаций форма бухгалтерской справки утверждена приказом Минфина России от 30.12.99 № 107н - форма № 433. К этой форме могут обращаться и бухгалтеры коммерческих организаций. Однако ничто не мешает организации на её основе разработать более удобную для использования форму.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Отметим, что </w:t>
      </w:r>
      <w:hyperlink r:id="rId6" w:history="1">
        <w:r w:rsidRPr="006E5773">
          <w:rPr>
            <w:rFonts w:ascii="Times New Roman" w:hAnsi="Times New Roman"/>
            <w:color w:val="05688D"/>
            <w:sz w:val="28"/>
            <w:szCs w:val="28"/>
            <w:u w:val="single"/>
          </w:rPr>
          <w:t>бухгалтерия</w:t>
        </w:r>
      </w:hyperlink>
      <w:r w:rsidRPr="006E5773">
        <w:rPr>
          <w:rFonts w:ascii="Times New Roman" w:hAnsi="Times New Roman"/>
          <w:color w:val="000000"/>
          <w:sz w:val="28"/>
          <w:szCs w:val="28"/>
        </w:rPr>
        <w:t> вынуждена довольно часто обращаться к этому документу. Любая исправительная запись на счетах бухгалтерского учета, различные расчеты, начиная от расчета сумм ежемесячной амортизации до начислений сумм налогов, пени, штрафов, перерасчет налоговых обязательств и т. п. должны оформляться такой справкой.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b/>
          <w:bCs/>
          <w:color w:val="000000"/>
          <w:sz w:val="28"/>
          <w:szCs w:val="28"/>
        </w:rPr>
        <w:t>Пример 2 </w:t>
      </w:r>
      <w:r w:rsidRPr="006E5773">
        <w:rPr>
          <w:rFonts w:ascii="Times New Roman" w:hAnsi="Times New Roman"/>
          <w:color w:val="000000"/>
          <w:sz w:val="28"/>
          <w:szCs w:val="28"/>
        </w:rPr>
        <w:t>При проведении инвентаризации товаров в сентябре 2004 года в ООО «Инткомплекс» выявлена их недостача на сумму 5300 руб. Комиссия признала виновным в недостаче работника организации. Сокольник В. П., несшая полную материальную ответственность, добровольно согласилась возместить ущерб из своей заработной платы (её оклад – 10 500 руб.)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 соответствии с требованиями налоговиков ранее принятый к вычету НДС по недостающему товару – 954 руб. (5300 руб. х 18%) восстанавливается. Эта величина увеличивает сумму недостачи до 6254 руб. (5300 + 954).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Администрацией принято решение об удержании причитающейся сумму в течение трех месяцев с учетом ограничения, установленного статьей 138 ТК РФ.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 сентябре и октябре из заработной платы работника удерживается максимально возможная сумма - 2100 руб. (10 500 руб. х 20%), в ноябре - оставшаяся часть – 2054 руб. (6254 – 2100 – 2100) 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Вид составленной бухгалтерской справки представлен ниже.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Организация ООО «Инткомплекс»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БУХГАЛТЕРСКАЯ СПРАВКА № 17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22 сентября 2004 г .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дата составления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Начисление задолженности Сокольник В.П. по недостаче товаров и удержание причитающейся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причина составления справки, обоснование бухгалтерских записей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_______________________________________ суммы _________________________________</w:t>
      </w:r>
    </w:p>
    <w:p w:rsidR="00A33F38" w:rsidRPr="006E5773" w:rsidRDefault="00A33F38" w:rsidP="00A33F38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расчеты сумм, отражаемых на счетах бухгалтерского учета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1010"/>
        <w:gridCol w:w="3814"/>
        <w:gridCol w:w="819"/>
        <w:gridCol w:w="1176"/>
        <w:gridCol w:w="863"/>
        <w:gridCol w:w="887"/>
      </w:tblGrid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Содержание операции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  <w:tc>
          <w:tcPr>
            <w:tcW w:w="1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Бухгалтерская запись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Дебет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A33F38" w:rsidRPr="006E5773" w:rsidRDefault="00A33F38" w:rsidP="00A33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22.09.04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Отражена стоимость недостающего товаров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5300,00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22.09.04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Восстановлен НДС по недостаче товаров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954,00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22.09.04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Восстановленный НДС учтен в сумме недостачи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954,00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22.09.04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Начислена задолженность работника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6254,00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73-2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22.09.04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Частично погашена задолженность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2100,00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73-2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29.10.04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Частично погашена задолженность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2100,00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73-2</w:t>
            </w:r>
          </w:p>
        </w:tc>
      </w:tr>
      <w:tr w:rsidR="00A33F38" w:rsidRPr="005214F1" w:rsidTr="00A33F3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30.11.04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Задолженность погашена полностью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2054,00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F38" w:rsidRPr="006E5773" w:rsidRDefault="00A33F38" w:rsidP="00A33F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773">
              <w:rPr>
                <w:rFonts w:ascii="Times New Roman" w:hAnsi="Times New Roman"/>
                <w:sz w:val="28"/>
                <w:szCs w:val="28"/>
              </w:rPr>
              <w:t>73-2</w:t>
            </w:r>
          </w:p>
        </w:tc>
      </w:tr>
    </w:tbl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Бухгалтер _________________ В.В. Серикова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подпись расшифровка подписи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Главный бухгалтер _________________ Н.В. Державец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подпись расшифровка подписи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____________________________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Конец примера 2</w:t>
      </w:r>
    </w:p>
    <w:p w:rsidR="00A33F38" w:rsidRPr="006E5773" w:rsidRDefault="00A33F38" w:rsidP="00A33F38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 </w:t>
      </w:r>
    </w:p>
    <w:p w:rsidR="00A33F38" w:rsidRPr="006E5773" w:rsidRDefault="00A33F38" w:rsidP="00A33F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color w:val="000000"/>
          <w:sz w:val="28"/>
          <w:szCs w:val="28"/>
        </w:rPr>
        <w:t>С введением налогового учета важность бухгалтерской справки возросла. В совокупности с другими первичными документами бухгалтерская справка является основанием для внесения записей в аналитические регистры налогового учета (ст. 313 НК РФ).</w:t>
      </w:r>
    </w:p>
    <w:p w:rsidR="00A33F38" w:rsidRPr="006E5773" w:rsidRDefault="00A33F38" w:rsidP="00A33F38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E5773">
        <w:rPr>
          <w:rFonts w:ascii="Times New Roman" w:hAnsi="Times New Roman"/>
          <w:b/>
          <w:bCs/>
          <w:color w:val="000000"/>
          <w:sz w:val="28"/>
          <w:szCs w:val="28"/>
        </w:rPr>
        <w:t>Формы для налогового учета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При исчислении </w:t>
      </w:r>
      <w:hyperlink r:id="rId7" w:history="1">
        <w:r w:rsidRPr="00FF3F5D">
          <w:rPr>
            <w:rFonts w:ascii="Times New Roman" w:hAnsi="Times New Roman"/>
            <w:color w:val="05688D"/>
            <w:sz w:val="28"/>
            <w:szCs w:val="28"/>
            <w:u w:val="single"/>
          </w:rPr>
          <w:t>налога на прибыль</w:t>
        </w:r>
      </w:hyperlink>
      <w:r w:rsidRPr="00FF3F5D">
        <w:rPr>
          <w:rFonts w:ascii="Times New Roman" w:hAnsi="Times New Roman"/>
          <w:color w:val="000000"/>
          <w:sz w:val="28"/>
          <w:szCs w:val="28"/>
        </w:rPr>
        <w:t> полученные доходы уменьшаются на сумму произведенных расходов, отвечающих требованиям, предусмотренным пунктом 1 статьи 252 НК РФ. Среди них упомянуто и документальное подтверждение затрат. При этом под документально подтвержденными расходами понимаются затраты, подтвержденные документами, оформленными в соответствии с законодательством РФ.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Подтверждением данных налогового учета могут являться первичные учетные документы (включая справку бухгалтера), аналитические регистры налогового учета и расчет налоговой базы (ст. 313 НК РФ).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Понятие «первичный учетный документ» законодателем в Налоговом кодексе РФ специально не раскрыто. Поэтому исходя из нормы пункта 1 статьи 11 НК РФ, устанавливающей, что институты, понятия и термины гражданского, семейного и других отраслей законодательства РФ, используемые в НК РФ, применяются в том значении, в каком они используются в этих отраслях законодательства (если иное не предусмотрено НК РФ), используемые в налоговом учете </w:t>
      </w:r>
      <w:hyperlink r:id="rId8" w:history="1">
        <w:r w:rsidRPr="00FF3F5D">
          <w:rPr>
            <w:rFonts w:ascii="Times New Roman" w:hAnsi="Times New Roman"/>
            <w:color w:val="05688D"/>
            <w:sz w:val="28"/>
            <w:szCs w:val="28"/>
            <w:u w:val="single"/>
          </w:rPr>
          <w:t>первичные документы</w:t>
        </w:r>
      </w:hyperlink>
      <w:r w:rsidRPr="00FF3F5D">
        <w:rPr>
          <w:rFonts w:ascii="Times New Roman" w:hAnsi="Times New Roman"/>
          <w:color w:val="000000"/>
          <w:sz w:val="28"/>
          <w:szCs w:val="28"/>
        </w:rPr>
        <w:t>должны соответствовать требованиям, предъявляемым к ним в бухгалтерском учете.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Это подтвердили и налоговики в Методических рекомендациях по применению главы 25 «</w:t>
      </w:r>
      <w:hyperlink r:id="rId9" w:history="1">
        <w:r w:rsidRPr="00FF3F5D">
          <w:rPr>
            <w:rFonts w:ascii="Times New Roman" w:hAnsi="Times New Roman"/>
            <w:color w:val="05688D"/>
            <w:sz w:val="28"/>
            <w:szCs w:val="28"/>
            <w:u w:val="single"/>
          </w:rPr>
          <w:t>налог на прибыль</w:t>
        </w:r>
      </w:hyperlink>
      <w:r w:rsidRPr="00FF3F5D">
        <w:rPr>
          <w:rFonts w:ascii="Times New Roman" w:hAnsi="Times New Roman"/>
          <w:color w:val="000000"/>
          <w:sz w:val="28"/>
          <w:szCs w:val="28"/>
        </w:rPr>
        <w:t> организаций» Налогового кодекса Российской Федерации (утв. приказом МНС России от 20.12.02 № БГ-3-02/729). В документе приводится, что порядок оформления первичных документов предусмотрен нормативными правовыми актами соответствующих органов исполнительной власти. Этим органам в соответствии с законодательством РФ предоставлено право утверждать порядок составления и формы первичных документов, которыми оформляются хозяйственные операции.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Поэтому применение типовых унифицированных форм первичной учетной документации, утвержденных соответствующими постановлениями Госкомстата России в 1997-2004 годах, или самостоятельно разработанных налогоплательщиком первичных документов, отвечающим требованиям закона о бухгалтерском учете, при фиксировании произведенных затрат позволит налогоплательщику учесть их в расходах, уменьшающих полученные доходы при исчислении налога на прибыль.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Однако не всегда типовая унифицированная форма первичного учетного документа, используемая в бухгалтерском учете, будет позволять учесть все необходимые данные для налогового учета. В этом случае в форму можно внести дополнительные строки и графы, для отражения недостающих показателей.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b/>
          <w:bCs/>
          <w:color w:val="000000"/>
          <w:sz w:val="28"/>
          <w:szCs w:val="28"/>
        </w:rPr>
        <w:t>Пример 3 </w:t>
      </w:r>
      <w:r w:rsidRPr="00FF3F5D">
        <w:rPr>
          <w:rFonts w:ascii="Times New Roman" w:hAnsi="Times New Roman"/>
          <w:color w:val="000000"/>
          <w:sz w:val="28"/>
          <w:szCs w:val="28"/>
        </w:rPr>
        <w:t>При учете объекта основных средств в амортизируемом имуществе типовая межотраслевая форма № ОС-6 «Инвентарная карточка учета основных средств» (утв. постановлением Госкомстата России от 27.01.03 № 7), не содержит информации: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   об амортизационной группе, в которую входит основное средство;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   о методе начисления амортизации по основному средству.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Если срок полезного использования основного средства в налоговом учете отличается от срока полезного использования, определенного для целей бухгалтерского учета, то необходимо и его указать.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При нелинейном методе начисления амортизации необходимы также данные по: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   сумме начисленной амортизации по основному средству;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   остаточной стоимости основного средства;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   базовой стоимости основного средства и сумме месячной амортизации по таким основным средствам.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Следовательно, организации необходимо соответствующим образом доработать карточку или же самостоятельно разработать дополнительный аналитический регистр налогового учете, предусматривающий внесение упомянутых данных.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__________________________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Конец примера 3</w:t>
      </w:r>
    </w:p>
    <w:p w:rsidR="00A33F38" w:rsidRPr="00FF3F5D" w:rsidRDefault="00A33F38" w:rsidP="00A33F3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F3F5D">
        <w:rPr>
          <w:rFonts w:ascii="Times New Roman" w:hAnsi="Times New Roman"/>
          <w:color w:val="000000"/>
          <w:sz w:val="28"/>
          <w:szCs w:val="28"/>
        </w:rPr>
        <w:t>Отсутствие первичного документа в налоговом учете классифицируется как грубое нарушение правил учета доходов и расходов, а также объектов налогообложения (ст. 120 НК РФ). Грубое нарушение правил учета доходов и расходов и объектов налогообложения, если оно совершено в течение одного налогового периода, при отсутствии признаков налогового правонарушения влечет взыскание штрафа в размере 5000 руб. Если же при этом была занижена налоговая база, то величина штрафа составит 10% от суммы неуплаченного налога, но не менее 15 000 руб.</w:t>
      </w:r>
    </w:p>
    <w:p w:rsidR="00A33F38" w:rsidRPr="009B7C05" w:rsidRDefault="00A33F38" w:rsidP="009B7C05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sectPr w:rsidR="00A33F38" w:rsidRPr="009B7C05" w:rsidSect="0049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C05"/>
    <w:rsid w:val="00495499"/>
    <w:rsid w:val="004C16E4"/>
    <w:rsid w:val="005305A8"/>
    <w:rsid w:val="00663969"/>
    <w:rsid w:val="009B7C05"/>
    <w:rsid w:val="00A33F38"/>
    <w:rsid w:val="00E3670A"/>
    <w:rsid w:val="00F6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AC2A5-8583-4DDA-9F15-464301EB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4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/buh/articles/1521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lerk.ru/buh/articles/1521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erk.ru/buh/articles/1521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lerk.ru/buh/articles/1521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klerk.ru/buh/articles/15217/" TargetMode="External"/><Relationship Id="rId9" Type="http://schemas.openxmlformats.org/officeDocument/2006/relationships/hyperlink" Target="http://www.klerk.ru/buh/articles/152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ОГАУ</Company>
  <LinksUpToDate>false</LinksUpToDate>
  <CharactersWithSpaces>18259</CharactersWithSpaces>
  <SharedDoc>false</SharedDoc>
  <HLinks>
    <vt:vector size="36" baseType="variant">
      <vt:variant>
        <vt:i4>7929895</vt:i4>
      </vt:variant>
      <vt:variant>
        <vt:i4>15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  <vt:variant>
        <vt:i4>7929895</vt:i4>
      </vt:variant>
      <vt:variant>
        <vt:i4>12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  <vt:variant>
        <vt:i4>7929895</vt:i4>
      </vt:variant>
      <vt:variant>
        <vt:i4>9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  <vt:variant>
        <vt:i4>7929895</vt:i4>
      </vt:variant>
      <vt:variant>
        <vt:i4>6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  <vt:variant>
        <vt:i4>7929895</vt:i4>
      </vt:variant>
      <vt:variant>
        <vt:i4>3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  <vt:variant>
        <vt:i4>7929895</vt:i4>
      </vt:variant>
      <vt:variant>
        <vt:i4>0</vt:i4>
      </vt:variant>
      <vt:variant>
        <vt:i4>0</vt:i4>
      </vt:variant>
      <vt:variant>
        <vt:i4>5</vt:i4>
      </vt:variant>
      <vt:variant>
        <vt:lpwstr>http://www.klerk.ru/buh/articles/15217/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Владимирович</dc:creator>
  <cp:keywords/>
  <dc:description/>
  <cp:lastModifiedBy>admin</cp:lastModifiedBy>
  <cp:revision>2</cp:revision>
  <cp:lastPrinted>2010-05-17T04:23:00Z</cp:lastPrinted>
  <dcterms:created xsi:type="dcterms:W3CDTF">2014-07-10T10:01:00Z</dcterms:created>
  <dcterms:modified xsi:type="dcterms:W3CDTF">2014-07-10T10:01:00Z</dcterms:modified>
</cp:coreProperties>
</file>