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6DE" w:rsidRPr="006826DE" w:rsidRDefault="006826DE" w:rsidP="00946B3E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826DE">
        <w:rPr>
          <w:rFonts w:ascii="Times New Roman" w:hAnsi="Times New Roman" w:cs="Times New Roman"/>
          <w:b/>
          <w:bCs/>
          <w:sz w:val="32"/>
          <w:szCs w:val="32"/>
        </w:rPr>
        <w:t>Новая автоматизированная система оптимизации рационов питания спортсменов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В последнее время специалисты-нутрициологи все более уверенно отстаивают точку зрения, согласно которой ни один из факторов, за исключением наследственно обусловленных возможностей и степени адаптации к физическим нагрузкам, не оказывает столь сильного влияния на спортивный результат, как питание [6, 9, 10].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В то же время многочисленные исследования, проведенные на командах самого различного ранга, свидетельствуют о серьезных диетических нарушениях в пищевых рационах спортсменов, что, естественно, не может негативно не повлиять на уровень их спортивных результатов [4, 10].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В связи с этим проблема рационализации питания на основе его ежедневной оперативной оценки и своевременной оптимизации с учетом спортивной специализации, задач и условий проведения тренировочного процесса продолжает привлекать внимание ученых. В настоящее время с этой целью используются различные методы анализа фактического питания, среди которых наиболее широкое распространение получил анкетно-опросный метод, реализованный в компьютеризованных анкетах [3] и специальных программах для оперативного анализа фактического питания и его своевременной коррекции с целью создания благоприятного метаболического фона при интенсивной мышечной деятельности [5, 11, 12].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Однако все существующие разразработки автоматизированной системы анализа практически не учитывают важного концептуального положения, согласно которому метаболический фон в значительной мере определяется уровнем незаменимых факторов питания (незаменимых аминокислот, непредельных жирных кислот, биологически активных веществ) и степенью их усвояемости [6].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Реализация данного положения требует следующего: а) дополнительных данных относительно биологической ценности рационов (содержание незаменимых аминокислот, полиненасыщенных жирных кислот, соотношение компонентов углеводной части питания [6], в том числе наличие пищевых волокон); б) сведений об оптимальном соотношении в спектре минерального состава, что обусловливает степень усвояемости отдельных компонентов пищи пищеварительной системой [7]; в) соблюдения условий совместимости продуктов с учетом биологической направленности при их комбинации для одновременного приема [2] и г) учета потерь пищевой ценности продуктов при их кулинарной обработке [8].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С учетом вышеизложенного нами была разработана математическая модель оптимизации рационов питания спортсменов, которая реализована в программном обеспечении для IBM-совместимых компьютеров и позволяет решать следующие задачи: </w:t>
      </w:r>
      <w:r w:rsidRPr="006826DE">
        <w:rPr>
          <w:rFonts w:ascii="Times New Roman" w:hAnsi="Times New Roman" w:cs="Times New Roman"/>
          <w:sz w:val="24"/>
          <w:szCs w:val="24"/>
        </w:rPr>
        <w:br/>
        <w:t>1. Анализировать суточный рацион или отдельные приемы пищи (завтрак, обед, полдник, ужин, дополнительное питание) с известным количественным набором готовых продуктов по энергетической ценности и химическому составу с целью выявления диетических нарушений.</w:t>
      </w:r>
      <w:r w:rsidRPr="006826DE">
        <w:rPr>
          <w:rFonts w:ascii="Times New Roman" w:hAnsi="Times New Roman" w:cs="Times New Roman"/>
          <w:sz w:val="24"/>
          <w:szCs w:val="24"/>
        </w:rPr>
        <w:br/>
        <w:t xml:space="preserve">2. Рассчитывать для фиксированного перечня готовых продуктов их оптимальное количество, максимально приближенное по всем параметрам к эталонному рациону, рекомендуемому в зависимости от спортивной специализации, энергетической направленности выполняемой нагрузки, условий (среднегорье, высокогорье, высокие и низкие температуры) и специальных задач (максимальное углеводное насыщение) тренировочного процесса. </w:t>
      </w:r>
      <w:r w:rsidRPr="006826DE">
        <w:rPr>
          <w:rFonts w:ascii="Times New Roman" w:hAnsi="Times New Roman" w:cs="Times New Roman"/>
          <w:sz w:val="24"/>
          <w:szCs w:val="24"/>
        </w:rPr>
        <w:br/>
        <w:t>3. Оптимизировать рацион в зависимости от поставленной задачи путем подбора группы готовых продуктов из полного или избранного перечня архивных данных, равнозначно учитывая при этом все необходимые параметры качества каждого продукта.</w:t>
      </w:r>
      <w:r w:rsidRPr="006826DE">
        <w:rPr>
          <w:rFonts w:ascii="Times New Roman" w:hAnsi="Times New Roman" w:cs="Times New Roman"/>
          <w:sz w:val="24"/>
          <w:szCs w:val="24"/>
        </w:rPr>
        <w:br/>
        <w:t xml:space="preserve">4. Переводить полученные количества готовых продуктов рациона в набор рыночных компонентов, входящих в их состав, с учетом потерь при кулинарной обработке. </w:t>
      </w:r>
      <w:r w:rsidRPr="006826DE">
        <w:rPr>
          <w:rFonts w:ascii="Times New Roman" w:hAnsi="Times New Roman" w:cs="Times New Roman"/>
          <w:sz w:val="24"/>
          <w:szCs w:val="24"/>
        </w:rPr>
        <w:br/>
        <w:t xml:space="preserve">5. Корректировать рацион питания спортсменов с учетом диетических отклонений по отдельным параметрам химического состава и энергетической ценности путем дополнительного введения продуктов повышенной биологической ценности специального назначения, поливитаминных и поливитаминно-минеральных препаратов, а также природных биологически активных веществ.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Результаты решения поставленных задач выражаются в граммах готовых продуктов оптимизированного рациона.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Интегральный критерий качества (показатель адекватности) оценивает оптимизацию рациона (в %), равнозначно учитывая энергетическую стоимость и все параметры химического состава каждого продукта.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Энергетическая ценность рациона при необходимости может жестко фиксироваться в условиях решения поставленной задачи; равнозначно учитываться вместе с оптимизируемыми параметрами химического состава; констатироваться после оптимизации рациона.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Все компоненты химического состава, в том числе незаменимые факторы питания, рассчитываются в граммах суточной потребности и в процентах по отношению к эталонным значениям.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При необходимости возможно вычисление величины каждого оптимизируемого параметра в граммах на 1 килограмм массы тела для подбора индивидуального питания спортсменов.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Полученные данные могут быть распечатаны в текстовой редакции, а также в виде графиков и гистограмм.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Для формализации качественных и количественных характеристик пищевых продуктов, используемых при моделировании адекватных рационов питания спортсменов, в программе предложены следующие обозначения: bi (1&lt;=i&lt;=p) - значение каждого оптимизируемого параметра; xj (1&lt;=j&lt;=n) - количество продукта, входящего в состав рациона.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Задача по определению количества каждого продукта в оптимизируемом рационе xj (1&lt;=j&lt;=p) решалась таким образом, что суммарные значения всех параметров набора продуктов сi по абсолютной величине и соотношению максимально приближались к соответствующим эталонным значениям bi. Для оптимизации С = {ci} с помощью управляющего вектора Х ={xj} разработан критерий качества (целевая функция), отражающий степень сбалансированности. Массовая доля i-го показателя в j-м продукте, входящем в состав рациона, обозначалась как аij. Эти числа сведены в матрицу А = (aij) размером p x n и по формуле: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2.35pt;margin-top:-49.25pt;width:157.15pt;height:61.45pt;z-index:251655168" o:allowincell="f">
            <v:imagedata r:id="rId5" o:title=""/>
            <w10:wrap type="topAndBottom"/>
          </v:shape>
        </w:pict>
      </w:r>
      <w:r w:rsidR="006826DE" w:rsidRPr="006826DE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получен вектор химического состава оптимизируемого рациона.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Исходя из физиологических норм питания, на управляющий вектор Х возможно наложение ограничений: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О &lt;= xj &lt;= kj,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(2)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где константы kj известны и задаются.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145.15pt;margin-top:62.6pt;width:165.6pt;height:63.75pt;z-index:251656192" o:allowincell="f">
            <v:imagedata r:id="rId6" o:title=""/>
            <w10:wrap type="topAndBottom"/>
          </v:shape>
        </w:pict>
      </w:r>
      <w:r w:rsidR="006826DE" w:rsidRPr="006826DE">
        <w:rPr>
          <w:rFonts w:ascii="Times New Roman" w:hAnsi="Times New Roman" w:cs="Times New Roman"/>
          <w:sz w:val="24"/>
          <w:szCs w:val="24"/>
        </w:rPr>
        <w:t>Учитывая качественные различия готовых блюд и составляющих их рыночных продуктов, целесообразно вектор Х считать относящимся к расчету готовых продуктов, а количества рыночных продуктов ye (1&lt;=e&lt;=m), cоставляющие вектор Y = {ye}, можно получить по формуле: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 (3)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где: dej - массовые доли е-го рыночного продукта в i-м готовом продукте, составляющем матрицу d=(dej).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166.75pt;margin-top:35.7pt;width:138pt;height:43.5pt;z-index:251657216" o:allowincell="f">
            <v:imagedata r:id="rId7" o:title=""/>
            <w10:wrap type="topAndBottom"/>
          </v:shape>
        </w:pict>
      </w:r>
      <w:r w:rsidR="006826DE" w:rsidRPr="006826DE">
        <w:rPr>
          <w:rFonts w:ascii="Times New Roman" w:hAnsi="Times New Roman" w:cs="Times New Roman"/>
          <w:sz w:val="24"/>
          <w:szCs w:val="24"/>
        </w:rPr>
        <w:t>С учетом квадрата модуля разности векторов химических составов оптимизируемого рациона С и эталона В: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 (4)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166.75pt;margin-top:25.65pt;width:138pt;height:42.2pt;z-index:251658240" o:allowincell="f">
            <v:imagedata r:id="rId8" o:title=""/>
            <w10:wrap type="topAndBottom"/>
          </v:shape>
        </w:pict>
      </w:r>
      <w:r w:rsidR="006826DE" w:rsidRPr="006826DE">
        <w:rPr>
          <w:rFonts w:ascii="Times New Roman" w:hAnsi="Times New Roman" w:cs="Times New Roman"/>
          <w:sz w:val="24"/>
          <w:szCs w:val="24"/>
        </w:rPr>
        <w:t>предложен следующий показатель сбалансированности по химическому составу: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 (5)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Очевидно, что при полном совпадении С и В величина F достигает своего глобального максимума - 100%.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Можно показать, что экстремумы (5) и (4) достигаются при одних и тех же оптимальных решениях Х.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Наряду с показателем сбалансированности по химическому составу рациона, который должен быть максимизирован, в питании спортсменов определяющую роль играет энергетическая стоимость рациона - Q: 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0" type="#_x0000_t75" style="position:absolute;left:0;text-align:left;margin-left:159.55pt;margin-top:28.6pt;width:136.8pt;height:57.6pt;z-index:251659264" o:allowincell="f">
            <v:imagedata r:id="rId9" o:title=""/>
            <w10:wrap type="topAndBottom"/>
          </v:shape>
        </w:pic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 xml:space="preserve"> (6)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где: qj - калорийность единицы массы j-го продукта, используемого в рационе.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Тогда целевой функцией в задаче (1) - (6) должна выступать функция, которая относится к классу выпуклого квадратичного программирования [12]:</w:t>
      </w:r>
    </w:p>
    <w:p w:rsidR="006826DE" w:rsidRPr="006826DE" w:rsidRDefault="00F23B8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1" type="#_x0000_t75" style="position:absolute;left:0;text-align:left;margin-left:101.95pt;margin-top:25.75pt;width:266.4pt;height:56.6pt;z-index:251660288" o:allowincell="f">
            <v:imagedata r:id="rId10" o:title=""/>
            <w10:wrap type="topAndBottom"/>
          </v:shape>
        </w:pic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(7)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где: К - показатель адекватности рациона спортсменов.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Аналогично при решении задачи (7) можно учесть необходимость минимизации стоимости рационов питания и другие факторы, имеющие значение для конкретного пользователя.</w:t>
      </w:r>
    </w:p>
    <w:p w:rsidR="006826DE" w:rsidRPr="006826DE" w:rsidRDefault="006826DE" w:rsidP="00946B3E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6DE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1. Базара М., Шетти К. Нелинейное программирование. Теория и алгоритмы.- М.: Мир, 1982.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2. Викторов А.П., Передерий В.Г. Щербак А.В. Взаимодействие лекарств и пищи.- Киев: Здоров'я, 1991.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3. Иванов А.В., Пшендин А.И., Рогозкин В.А. и др. Компьютеризованная анкета для оценки фактического питания лиц работоспособного возраста при повышении двигательной активности /Тез. докл. Всесоюзн. научно-практ. конф. "Культура двигательной активности, питания и закаливания".- М.: ВНИИФК, 1991, с. 43-44.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4. Коровников К.А., Лешик Я.Д. Питание и спортивная работоспособность. "Теор. и практ. физ. культ.", 1989, № 11, c. 9-12.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5. Методические рекомендации по организации обследования фактического питания отдельных групп населения анкетно-опросным методом с применением электронно-вычислительной техники /В.И. Смоляр, В.Я. Береза, А.Г. Кондратенко и др. Киев, 1979.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6. Рогозкин В.А., Пшендин А.И., Шишина Н.Н. Питание спортсменов.- М.: ФиС, 1989.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7. Смоляр В.И. Рациональное питание.- Киев: Наукова думка, 1991.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</w:rPr>
        <w:t>8. Химический состав пищевых продуктов /Под ред. И.М. Скурихина, В.А. Шатерникова. - М.: Легкая и пищевая промышленность, 1984.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826DE">
        <w:rPr>
          <w:rFonts w:ascii="Times New Roman" w:hAnsi="Times New Roman" w:cs="Times New Roman"/>
          <w:sz w:val="24"/>
          <w:szCs w:val="24"/>
          <w:lang w:val="en-US"/>
        </w:rPr>
        <w:t xml:space="preserve">9. Block J., Hartman A.N., Dresser C.M. //Am.J. Epidemiol., 1986, v. 124, p. 453-469.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826DE">
        <w:rPr>
          <w:rFonts w:ascii="Times New Roman" w:hAnsi="Times New Roman" w:cs="Times New Roman"/>
          <w:sz w:val="24"/>
          <w:szCs w:val="24"/>
          <w:lang w:val="en-US"/>
        </w:rPr>
        <w:t>10. Costill D.L. Cardohydrates for exercise: dietary demands for optimal performance //Int. J. Sports Med., 1988, v. 9, p. 1-18.</w:t>
      </w:r>
    </w:p>
    <w:p w:rsidR="006826DE" w:rsidRPr="00946B3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826DE">
        <w:rPr>
          <w:rFonts w:ascii="Times New Roman" w:hAnsi="Times New Roman" w:cs="Times New Roman"/>
          <w:sz w:val="24"/>
          <w:szCs w:val="24"/>
          <w:lang w:val="en-US"/>
        </w:rPr>
        <w:t xml:space="preserve">11. Orme J.F., Clemer T.P. Med. </w:t>
      </w:r>
      <w:r w:rsidRPr="00946B3E">
        <w:rPr>
          <w:rFonts w:ascii="Times New Roman" w:hAnsi="Times New Roman" w:cs="Times New Roman"/>
          <w:sz w:val="24"/>
          <w:szCs w:val="24"/>
          <w:lang w:val="en-US"/>
        </w:rPr>
        <w:t>Clin. N. Amer., 1983, v. 67, № 6, p. 1295.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26DE">
        <w:rPr>
          <w:rFonts w:ascii="Times New Roman" w:hAnsi="Times New Roman" w:cs="Times New Roman"/>
          <w:sz w:val="24"/>
          <w:szCs w:val="24"/>
          <w:lang w:val="en-US"/>
        </w:rPr>
        <w:t xml:space="preserve">12. Witschi J., Komaloff H., Bloom S., Slack W.-J. The Amer. </w:t>
      </w:r>
      <w:r w:rsidRPr="006826DE">
        <w:rPr>
          <w:rFonts w:ascii="Times New Roman" w:hAnsi="Times New Roman" w:cs="Times New Roman"/>
          <w:sz w:val="24"/>
          <w:szCs w:val="24"/>
        </w:rPr>
        <w:t xml:space="preserve">Diet., Associat., 1981, v. 79, p. 609. </w:t>
      </w:r>
    </w:p>
    <w:p w:rsidR="006826DE" w:rsidRPr="006826DE" w:rsidRDefault="006826DE" w:rsidP="00946B3E">
      <w:pPr>
        <w:spacing w:before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826DE" w:rsidRPr="006826DE" w:rsidSect="006826DE">
      <w:pgSz w:w="11906" w:h="16838"/>
      <w:pgMar w:top="1134" w:right="1134" w:bottom="1134" w:left="1134" w:header="709" w:footer="709" w:gutter="0"/>
      <w:cols w:space="720"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B6FC0"/>
    <w:multiLevelType w:val="singleLevel"/>
    <w:tmpl w:val="A1360C8A"/>
    <w:lvl w:ilvl="0">
      <w:start w:val="1"/>
      <w:numFmt w:val="decimal"/>
      <w:pStyle w:val="1"/>
      <w:lvlText w:val="%1"/>
      <w:lvlJc w:val="center"/>
      <w:pPr>
        <w:tabs>
          <w:tab w:val="num" w:pos="624"/>
        </w:tabs>
        <w:ind w:left="624" w:hanging="397"/>
      </w:pPr>
    </w:lvl>
  </w:abstractNum>
  <w:abstractNum w:abstractNumId="1">
    <w:nsid w:val="3E714899"/>
    <w:multiLevelType w:val="multilevel"/>
    <w:tmpl w:val="20105294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.%1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415937AB"/>
    <w:multiLevelType w:val="multilevel"/>
    <w:tmpl w:val="80BEA10A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71"/>
  <w:displayHorizontalDrawingGridEvery w:val="0"/>
  <w:displayVerticalDrawingGridEvery w:val="0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6DE"/>
    <w:rsid w:val="0031571F"/>
    <w:rsid w:val="00363DB0"/>
    <w:rsid w:val="006826DE"/>
    <w:rsid w:val="00884F2E"/>
    <w:rsid w:val="00946B3E"/>
    <w:rsid w:val="00CD21B9"/>
    <w:rsid w:val="00F2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20E2729-9768-4CCC-9D6E-3B1D8BE2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510"/>
      <w:jc w:val="both"/>
    </w:pPr>
    <w:rPr>
      <w:rFonts w:ascii="Arial" w:hAnsi="Arial" w:cs="Arial"/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">
    <w:name w:val="Заг. 1"/>
    <w:basedOn w:val="10"/>
    <w:next w:val="a"/>
    <w:autoRedefine/>
    <w:uiPriority w:val="99"/>
    <w:pPr>
      <w:numPr>
        <w:numId w:val="2"/>
      </w:numPr>
      <w:spacing w:before="120"/>
      <w:jc w:val="center"/>
    </w:pPr>
    <w:rPr>
      <w:caps/>
    </w:rPr>
  </w:style>
  <w:style w:type="paragraph" w:customStyle="1" w:styleId="2">
    <w:name w:val="Заг.2"/>
    <w:basedOn w:val="1"/>
    <w:autoRedefine/>
    <w:uiPriority w:val="99"/>
    <w:pPr>
      <w:numPr>
        <w:numId w:val="3"/>
      </w:numPr>
      <w:jc w:val="left"/>
    </w:pPr>
    <w:rPr>
      <w:b w:val="0"/>
      <w:bCs w:val="0"/>
    </w:rPr>
  </w:style>
  <w:style w:type="paragraph" w:customStyle="1" w:styleId="3">
    <w:name w:val="Заг.3"/>
    <w:basedOn w:val="1"/>
    <w:autoRedefine/>
    <w:uiPriority w:val="99"/>
    <w:pPr>
      <w:numPr>
        <w:numId w:val="4"/>
      </w:numPr>
    </w:pPr>
    <w:rPr>
      <w:caps w:val="0"/>
      <w:sz w:val="24"/>
      <w:szCs w:val="24"/>
    </w:rPr>
  </w:style>
  <w:style w:type="paragraph" w:customStyle="1" w:styleId="4">
    <w:name w:val="Заг.4"/>
    <w:basedOn w:val="3"/>
    <w:autoRedefine/>
    <w:uiPriority w:val="99"/>
    <w:pPr>
      <w:numPr>
        <w:numId w:val="0"/>
      </w:numPr>
      <w:ind w:left="227"/>
    </w:pPr>
    <w:rPr>
      <w:b w:val="0"/>
      <w:bCs w:val="0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НОВАЯ АВТОМАТИЗИРОВАННАЯ СИСТЕМА ОПТИМИЗАЦИИ РАЦИОНОВ ПИТАНИЯ СПОРТСМЕНОВ</vt:lpstr>
    </vt:vector>
  </TitlesOfParts>
  <Company> 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АВТОМАТИЗИРОВАННАЯ СИСТЕМА ОПТИМИЗАЦИИ РАЦИОНОВ ПИТАНИЯ СПОРТСМЕНОВ</dc:title>
  <dc:subject/>
  <dc:creator>Lokhonya</dc:creator>
  <cp:keywords/>
  <dc:description/>
  <cp:lastModifiedBy>admin</cp:lastModifiedBy>
  <cp:revision>2</cp:revision>
  <dcterms:created xsi:type="dcterms:W3CDTF">2014-02-19T08:37:00Z</dcterms:created>
  <dcterms:modified xsi:type="dcterms:W3CDTF">2014-02-19T08:37:00Z</dcterms:modified>
</cp:coreProperties>
</file>