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540" w:rsidRPr="00534F20" w:rsidRDefault="00E43540" w:rsidP="00E43540">
      <w:pPr>
        <w:spacing w:before="120"/>
        <w:jc w:val="center"/>
      </w:pPr>
      <w:r w:rsidRPr="0031482A">
        <w:rPr>
          <w:b/>
          <w:bCs/>
          <w:sz w:val="32"/>
          <w:szCs w:val="32"/>
        </w:rPr>
        <w:t>Исследование реакции сердечно-сосудистой системы на использование различных циклических средств подготовки высококвалифицированными лыжниками-гонщиками в</w:t>
      </w:r>
      <w:r w:rsidRPr="00534F20">
        <w:t xml:space="preserve"> </w:t>
      </w:r>
      <w:r w:rsidRPr="0031482A">
        <w:rPr>
          <w:b/>
          <w:bCs/>
          <w:sz w:val="32"/>
          <w:szCs w:val="32"/>
        </w:rPr>
        <w:t>подготовительном периоде</w:t>
      </w:r>
    </w:p>
    <w:p w:rsidR="00E43540" w:rsidRPr="0031482A" w:rsidRDefault="00E43540" w:rsidP="00E43540">
      <w:pPr>
        <w:spacing w:before="120"/>
        <w:jc w:val="center"/>
        <w:rPr>
          <w:sz w:val="28"/>
          <w:szCs w:val="28"/>
        </w:rPr>
      </w:pPr>
      <w:r w:rsidRPr="0031482A">
        <w:rPr>
          <w:sz w:val="28"/>
          <w:szCs w:val="28"/>
        </w:rPr>
        <w:t xml:space="preserve">Кандидат педагогических наук А.В. Кубеев Е.А. Савенкова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>Российский государственный университет физической культуры, спорта и туризма, Москва</w:t>
      </w:r>
    </w:p>
    <w:p w:rsidR="00E43540" w:rsidRDefault="00E43540" w:rsidP="00E43540">
      <w:pPr>
        <w:spacing w:before="120"/>
        <w:ind w:firstLine="567"/>
        <w:jc w:val="both"/>
      </w:pPr>
      <w:r w:rsidRPr="00534F20">
        <w:t xml:space="preserve">Введение.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>В подготовке лыжников-гонщиков используются разнообразные циклические средства, основные из которых - бег по пересеченной местности, кросс с имитацией, передвижение на лыжероллерах, лыжах различными стилями (коньковый ход, классический ход). В зависимости от поставленных целей и задач тренировочного периода соотношение этих средств меняется. В условиях естественного эксперимента исследовалась реакция сердечно-сосудистой системы (на примере ритма сердечных сокращений) на использование циклических средств подготовки.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Методы: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>1. Анализ литературных источников.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2. Анализ тренировочных дневников спортсменов.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3. Пульсометрия с использованием аппаратуры фирмы POLAR ELECTRO OY (Финляндия) - спорттестеры модели Vantage NV.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4. Методы математической статистики.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Организация исследования. Исследования проводились в команде высококвалифицированных лыжников-гонщиков в период с июня 1999 по февраль 2001 г. В данной статье рассмотрены данные за один мезоцикл подготовительного периода. Всего в эксперименте участвовали 24 спортсмена в возрасте 18 - 28 лет, имеющие спортивную квалификацию МС - 8, МСМК - 14 и ЗМС - 2. Изучались показатели ритма сердечных сокращений, зарегистрированные в покое и после выполнения нагрузки в циклических средствах.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На первом этапе мы анализировали соотношение объема используемых средств на учебно-тренировочном сборе в июне (г. Остров). Данные представлены в табл. 1. На втором этапе предметом исследования были средние индивидуальные значения показателей ритма сердца, зарегистрированные после тренировок с использованием различных циклических средств подготовки (табл. 2).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Результаты исследования. У спортсмена в начале подготовительного периода преобладает нагрузка циклического характера с использованием передвижения на лыжероллерах (как классических, так и коньковых) (см. табл. 1) . Относительный объем этих средств составил соответственно 40,1 и 36,4% от общего объема циклической нагрузки. В кроссе и кроссе с имитацией эти показатели значительно меньше - 7,9 и 15,7% 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Вся циклическая нагрузка по зонам метаболического обеспечения была разделена на поддерживающую и развивающую. К развивающей нагрузке мы отнесли тренировки, исходя из спектра метаболического обеспечения [7], в которых спортсмен работал в зонах III, IVa, IVb и IVc, к поддерживающей - тренировки с преимущественной работой в зонах I и II. Следует отметить, что в рассматриваемом периоде только тренировки с использованием такого средства, как кросс с имитацией, можно назвать развивающими, так как спортсмен выполнял нагрузку в развивающей (TZ) зоне энергообеспечения на уровне 48,8% и в зоне I+II на уровне 51,2% от общего объема нагрузки в тренировочном занятии, тогда как в других средствах вся нагрузка находилась преимущественно в поддерживающей зоне, на уровне 88,3-97,2%.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При изучении реакции ритма сердечных сокращений на использование циклических средств у спортсмена наблюдалась общая тенденция к изменению показателей ритма сердца. В частности, индекс напряжения (ИН), по Р.М. Баевскому, характеризующий состояние регуляторных систем организма, заметно увеличивается при использовании таких средств подготовки, как кросс с имитацией и передвижение на лыжероллерах классическим стилем. Амплитуда моды (%), которая характеризует состояние симпатической системы, при использовании также кросса с имитацией и передвижения на лыжероллерах классическим стилем, имеет тенденцию к увеличению показателей по сравнению с другими средствами. Мода, характеризующая состояние гуморального канала регуляции, заметно не увеличивается. Вероятно, у данного спортсмена организм адекватно воспринимал тренировочную нагрузку в начале подготовительного периода независимо от используемых средств подготовки. Изменение интервала RR, которое характеризует состояние парасимпатической нервной системы, по данным литературных источников, имеет тенденцию к улучшению выносливости [1], что подтверждается и нашими данными.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Выводы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1. Оптимальным можно считать следующее соотношение средств подготовки в начале подготовительного периода: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- лыжероллеры (свободный ход) - 40,1%;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- лыжероллеры (классический ход) - 36,4%;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- кросс с имитацией - 15,7%;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- кросс - 7,9%;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2. Максимальные значения ИН достигаются после тренировки с использованием кросса с имитацией - 48,4 балла.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3. Минимальные значения ИН достигаются после тренировки с использованием такого средства, как кросс, - 24,7 балла.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4. В тренировках с использование кросса с имитацией работа выполняется в аэробной зоне энергообеспечения на уровне 51,2%, в развивающей зоне (III+IV) - 48,8%.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>5. В тренировках с использованием кросса, лыжероллеров классических и коньковых нагрузка в аэробной зоне энергообеспечения составляет 88,2- 97,2%, в развивающей зоне (III+IV) - 2,8-11,7%.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>Таблица 1. Отчет о выполненной спортсменом циклической нагрузке в мезоцикле подготовительного периода с учетом используемых средств (июнь)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2"/>
        <w:gridCol w:w="600"/>
        <w:gridCol w:w="720"/>
        <w:gridCol w:w="480"/>
        <w:gridCol w:w="867"/>
        <w:gridCol w:w="778"/>
        <w:gridCol w:w="521"/>
        <w:gridCol w:w="600"/>
        <w:gridCol w:w="600"/>
        <w:gridCol w:w="600"/>
        <w:gridCol w:w="600"/>
        <w:gridCol w:w="600"/>
        <w:gridCol w:w="494"/>
        <w:gridCol w:w="480"/>
        <w:gridCol w:w="600"/>
        <w:gridCol w:w="600"/>
      </w:tblGrid>
      <w:tr w:rsidR="00E43540" w:rsidRPr="00534F20" w:rsidTr="002F032B">
        <w:trPr>
          <w:tblCellSpacing w:w="0" w:type="dxa"/>
        </w:trPr>
        <w:tc>
          <w:tcPr>
            <w:tcW w:w="4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Средства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17B6A" w:rsidP="002F032B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7.5pt;height:9pt">
                  <v:imagedata r:id="rId4" o:title=""/>
                </v:shape>
              </w:pict>
            </w:r>
            <w:r w:rsidR="00E43540" w:rsidRPr="00534F20">
              <w:t>L, км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17B6A" w:rsidP="002F032B">
            <w:r>
              <w:pict>
                <v:shape id="_x0000_i1035" type="#_x0000_t75" style="width:6.75pt;height:9pt">
                  <v:imagedata r:id="rId4" o:title=""/>
                </v:shape>
              </w:pict>
            </w:r>
            <w:r w:rsidR="00E43540" w:rsidRPr="00534F20">
              <w:t>L, %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Vsr, м/с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HRmax, уд/мин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HRcp, уд/мин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PS, м/уд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S, %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I, %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II, %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III, %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IVa, %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IVb, %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IVc, %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I+II, %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43540" w:rsidRPr="00534F20" w:rsidRDefault="00E43540" w:rsidP="002F032B">
            <w:r w:rsidRPr="00534F20">
              <w:t>TZ, %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4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Кросс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53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7,9034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2,71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139,48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169,00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1,17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71,57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87,61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9,58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2,81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97,19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2,81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4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Кросс с имитацией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105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15,658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2,61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165,35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190,83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0,95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81,40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30,84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20,40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25,11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20,50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3,14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0,01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51,24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48,76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4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Роллеры кл.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268,6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40,054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4,51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142,11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176,88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1,90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73,19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81,24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10,98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7,05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0,74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92,22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7,78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4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Роллеры св.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244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36,385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4,71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149,94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179,29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1,89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77,03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73,48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14,84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9,45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2,24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88,31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11,69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41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Общая оценка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670,6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100%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>
              <w:t xml:space="preserve"> </w:t>
            </w:r>
          </w:p>
        </w:tc>
      </w:tr>
    </w:tbl>
    <w:p w:rsidR="00E43540" w:rsidRPr="00534F20" w:rsidRDefault="00E43540" w:rsidP="00E43540">
      <w:pPr>
        <w:spacing w:before="120"/>
        <w:ind w:firstLine="567"/>
        <w:jc w:val="both"/>
      </w:pPr>
      <w:r w:rsidRPr="00534F20">
        <w:t>Таблица 2. Средние значения показателей ритма сердца, зарегистрированные у спортсмена в различных циклических средствах подготовки на учебно -тренировочном сборе подготовительного периода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0"/>
        <w:gridCol w:w="1017"/>
        <w:gridCol w:w="1017"/>
        <w:gridCol w:w="1016"/>
        <w:gridCol w:w="1016"/>
        <w:gridCol w:w="1016"/>
        <w:gridCol w:w="1016"/>
        <w:gridCol w:w="1016"/>
        <w:gridCol w:w="1014"/>
      </w:tblGrid>
      <w:tr w:rsidR="00E43540" w:rsidRPr="00534F20" w:rsidTr="002F032B">
        <w:trPr>
          <w:tblCellSpacing w:w="0" w:type="dxa"/>
        </w:trPr>
        <w:tc>
          <w:tcPr>
            <w:tcW w:w="80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Показатели МАРС</w:t>
            </w:r>
          </w:p>
        </w:tc>
        <w:tc>
          <w:tcPr>
            <w:tcW w:w="1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Кросс</w:t>
            </w:r>
          </w:p>
        </w:tc>
        <w:tc>
          <w:tcPr>
            <w:tcW w:w="1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Кросс с имитацией</w:t>
            </w:r>
          </w:p>
        </w:tc>
        <w:tc>
          <w:tcPr>
            <w:tcW w:w="1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Роллеры кл.</w:t>
            </w:r>
          </w:p>
        </w:tc>
        <w:tc>
          <w:tcPr>
            <w:tcW w:w="1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Роллеры св.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540" w:rsidRPr="00534F20" w:rsidRDefault="00E43540" w:rsidP="002F032B"/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X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17B6A" w:rsidP="002F032B">
            <w:r>
              <w:pict>
                <v:shape id="_x0000_i1038" type="#_x0000_t75" style="width:6.75pt;height:9pt">
                  <v:imagedata r:id="rId5" o:title=""/>
                </v:shape>
              </w:pic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X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17B6A" w:rsidP="002F032B">
            <w:r>
              <w:pict>
                <v:shape id="_x0000_i1041" type="#_x0000_t75" style="width:6.75pt;height:9pt">
                  <v:imagedata r:id="rId5" o:title=""/>
                </v:shape>
              </w:pic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X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17B6A" w:rsidP="002F032B">
            <w:r>
              <w:pict>
                <v:shape id="_x0000_i1044" type="#_x0000_t75" style="width:6.75pt;height:9pt">
                  <v:imagedata r:id="rId5" o:title=""/>
                </v:shape>
              </w:pic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X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17B6A" w:rsidP="002F032B">
            <w:r>
              <w:pict>
                <v:shape id="_x0000_i1047" type="#_x0000_t75" style="width:6.75pt;height:9pt">
                  <v:imagedata r:id="rId5" o:title=""/>
                </v:shape>
              </w:pic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ИН, баллы, вечер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24,63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9,20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48,14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19,22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39,36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17,69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33,05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2,71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ИН, баллы, утро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23,51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17,08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32,36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2,58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26,81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10,69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24,88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19,02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АМО, %, вечер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14,90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1,98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21,50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6,36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19,54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5,41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17,15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1,20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АМО, %, утро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15,65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5,44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18,00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2,83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17,20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4,21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17,40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7,92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МО, с, вечер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1,26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0,10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1,20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1,21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1,18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0,01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МО, с, утро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1,33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1,32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1,29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1,27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0,03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dRR, с, вечер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0,25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0,19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0,22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0,22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0,00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dRR, с, утро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0,30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0,14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0,21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0,27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0,07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0,32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0,11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HRп, вечер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47,77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3,75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50,03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1,77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49,51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2,31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50,85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0,61</w:t>
            </w:r>
          </w:p>
        </w:tc>
      </w:tr>
      <w:tr w:rsidR="00E43540" w:rsidRPr="00534F20" w:rsidTr="002F032B">
        <w:trPr>
          <w:tblCellSpacing w:w="0" w:type="dxa"/>
        </w:trPr>
        <w:tc>
          <w:tcPr>
            <w:tcW w:w="8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HRп, утро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45,15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1,92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45,46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0,49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46,43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1,87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540" w:rsidRPr="00534F20" w:rsidRDefault="00E43540" w:rsidP="002F032B">
            <w:r w:rsidRPr="00534F20">
              <w:t>47,26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43540" w:rsidRPr="00534F20" w:rsidRDefault="00E43540" w:rsidP="002F032B">
            <w:r w:rsidRPr="00534F20">
              <w:t>1,05</w:t>
            </w:r>
          </w:p>
        </w:tc>
      </w:tr>
    </w:tbl>
    <w:p w:rsidR="00E43540" w:rsidRPr="0031482A" w:rsidRDefault="00E43540" w:rsidP="00E43540">
      <w:pPr>
        <w:spacing w:before="120"/>
        <w:jc w:val="center"/>
        <w:rPr>
          <w:b/>
          <w:bCs/>
          <w:sz w:val="28"/>
          <w:szCs w:val="28"/>
        </w:rPr>
      </w:pPr>
      <w:r w:rsidRPr="0031482A">
        <w:rPr>
          <w:b/>
          <w:bCs/>
          <w:sz w:val="28"/>
          <w:szCs w:val="28"/>
        </w:rPr>
        <w:t>Список литературы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1. Баевский Р.М. Научно-теоретические основы использования анализа вариабельности сердечного ритма для оценки степени напряжения регуляторных систем организма // Государственный научный центр РФ - Институт медико-биологических проблем. М.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2. Баевский Р.М., Никулина Г.А., Фунтова И.И. Вариабельность сердечного ритма в условиях космического полета // Институт медико-биологических проблем. М.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3. Богатырев С.Н. Особенности функционального состояния сердечно-сосудистой системы при нарушении ритма сердца у занимающихся физической культурой в условиях различных режимов двигательной активности: Автореф. канд. дис. Центр усовершенствования врачей. М., 1988.- 22 с.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4. Возможности корреляционной ритмографии в оценке состояния спортсменов: Метод. пос. для врачей / ЦК ДОСААФ СССР. Пробл. научно-исследовательская мед.-биол. лаборатория; подгот. к.м.н. Н.А. Лапшиной. М.,1984.- 27 с.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5. Вопросы спортивной кардиологии /Сб. науч. тр. / Под ред. д.м.н., проф. Р.Д. Дибнер. Л., 1977. - 79 с. Комитет по физ. культуре и спорту при Совете Министров РСФСР, ЛНИИФК). </w:t>
      </w:r>
    </w:p>
    <w:p w:rsidR="00E43540" w:rsidRPr="00534F20" w:rsidRDefault="00E43540" w:rsidP="00E43540">
      <w:pPr>
        <w:spacing w:before="120"/>
        <w:ind w:firstLine="567"/>
        <w:jc w:val="both"/>
      </w:pPr>
      <w:r w:rsidRPr="00534F20">
        <w:t xml:space="preserve">6. Смирнов М.Р. Теоретические основы беговой нагрузки: Учеб. пос. для ин-ов физ. культуры и факультетов физ. воспитания педвузов. - Новосибирск: изд-во НГПУ,1996.- 217 с.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540"/>
    <w:rsid w:val="00025A23"/>
    <w:rsid w:val="00095BA6"/>
    <w:rsid w:val="002F032B"/>
    <w:rsid w:val="0031418A"/>
    <w:rsid w:val="0031482A"/>
    <w:rsid w:val="00534F20"/>
    <w:rsid w:val="005A2562"/>
    <w:rsid w:val="00887CE6"/>
    <w:rsid w:val="00A44D32"/>
    <w:rsid w:val="00E12572"/>
    <w:rsid w:val="00E17B6A"/>
    <w:rsid w:val="00E4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721C7F39-5B25-4478-A786-AE6A3FAF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54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35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6701</Characters>
  <Application>Microsoft Office Word</Application>
  <DocSecurity>0</DocSecurity>
  <Lines>55</Lines>
  <Paragraphs>15</Paragraphs>
  <ScaleCrop>false</ScaleCrop>
  <Company>Home</Company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реакции сердечно-сосудистой системы на использование различных циклических средств подготовки высококвалифицированными лыжниками-гонщиками в подготовительном периоде</dc:title>
  <dc:subject/>
  <dc:creator>Alena</dc:creator>
  <cp:keywords/>
  <dc:description/>
  <cp:lastModifiedBy>admin</cp:lastModifiedBy>
  <cp:revision>2</cp:revision>
  <dcterms:created xsi:type="dcterms:W3CDTF">2014-02-18T05:00:00Z</dcterms:created>
  <dcterms:modified xsi:type="dcterms:W3CDTF">2014-02-18T05:00:00Z</dcterms:modified>
</cp:coreProperties>
</file>