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0B" w:rsidRPr="004223EE" w:rsidRDefault="0057400B" w:rsidP="0057400B">
      <w:pPr>
        <w:spacing w:before="120"/>
        <w:jc w:val="center"/>
        <w:rPr>
          <w:b/>
          <w:bCs/>
          <w:sz w:val="32"/>
          <w:szCs w:val="32"/>
        </w:rPr>
      </w:pPr>
      <w:r w:rsidRPr="004223EE">
        <w:rPr>
          <w:b/>
          <w:bCs/>
          <w:sz w:val="32"/>
          <w:szCs w:val="32"/>
        </w:rPr>
        <w:t xml:space="preserve">Мониторинг исследования тестовых заданий на основе применения коэффициентов связи и корреляционной матрицы </w:t>
      </w:r>
    </w:p>
    <w:p w:rsidR="0057400B" w:rsidRPr="004223EE" w:rsidRDefault="0057400B" w:rsidP="0057400B">
      <w:pPr>
        <w:spacing w:before="120"/>
        <w:ind w:firstLine="567"/>
        <w:jc w:val="both"/>
        <w:rPr>
          <w:sz w:val="28"/>
          <w:szCs w:val="28"/>
        </w:rPr>
      </w:pPr>
      <w:r w:rsidRPr="004223EE">
        <w:rPr>
          <w:sz w:val="28"/>
          <w:szCs w:val="28"/>
        </w:rPr>
        <w:t xml:space="preserve">Кандидат педагогических наук, доцент Е.А. Барахсанова, Педагогический институт ЯГУ, Якутск, Кандидат педагогических наук, доцент В.П. Барахсанов, Институт физической культуры и спорта ЯГУ, Якутск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Введение. Проблема модернизации содержания школьного и высшего образования тесно связана с проблемой повышения качества знаний учащихся и студентов, которая, в свою очередь, зависит от эффективности учебно-воспитательной работы педагогов, а также от разработки тестовых заданий для проверки уровня усвоения знаний [1, 4-6].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Теоретический анализ научно-исследовательской литературы, изучение практических разработок, посвященных проблеме проверки надежности теста, показали, что проблема мониторинга является одной из самых актуальных, однако не до конца разрешенной [1, 3, 4, 7]. Появившиеся за последний период несколько методических пособий и учебников по мониторингу посвящены в основном вопросам составления тестовых заданий и проведения "единого государственного экзамена".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В данной статье приводятся результаты формирующего, контролирующего и сравнительного этапов исследования апробации коэффициентов связи.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Постановка проблемы исследования: структура, задачи и методика. Поэтапное проведение экспериментальной части исследования включало в себя следующие задачи исследования: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1. Выбрать коэффициент корреляции, по которой можно определить надежность теста.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2. Сформировать комплексное представление об анализе валидности и надежности тестов.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При разработке методики формирующего эксперимента мы руководствовались следующими положениями: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1. Предъявляемые испытуемым тесты должны соответствовать содержанию изучаемого предмета.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2. Задания должны быть представлены в доступной для испытуемых форме - в виде проблемных ситуаций и заданий.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>3. Качественная оценка полученных результатов должна сочетаться с количественной. О качественной характеристике мы судили на основе коэффициента связи</w:t>
      </w:r>
      <w:r>
        <w:t xml:space="preserve"> </w:t>
      </w:r>
      <w:r w:rsidR="00EA704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9pt">
            <v:imagedata r:id="rId4" o:title=""/>
          </v:shape>
        </w:pict>
      </w:r>
      <w:r w:rsidRPr="00911915"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0"/>
        <w:gridCol w:w="931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1"/>
        <w:gridCol w:w="689"/>
      </w:tblGrid>
      <w:tr w:rsidR="0057400B" w:rsidRPr="00911915" w:rsidTr="00065CA8">
        <w:trPr>
          <w:tblCellSpacing w:w="0" w:type="dxa"/>
        </w:trPr>
        <w:tc>
          <w:tcPr>
            <w:tcW w:w="29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№</w:t>
            </w:r>
          </w:p>
        </w:tc>
        <w:tc>
          <w:tcPr>
            <w:tcW w:w="4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Ф.И.О.</w:t>
            </w:r>
          </w:p>
        </w:tc>
        <w:tc>
          <w:tcPr>
            <w:tcW w:w="4252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Колич. заданий в тесте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</w:p>
        </w:tc>
        <w:tc>
          <w:tcPr>
            <w:tcW w:w="4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2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3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4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5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6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7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8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9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12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А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Б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3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В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4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Г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Д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6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Е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7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Ж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8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3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9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И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К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74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Количество правильных ответов Ri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9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8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8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7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5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6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4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4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3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6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5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3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74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Количество неправильных ответов Wi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2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2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3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5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4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6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6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7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4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5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7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74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Доля правильных ответов pi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0,90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0,80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0,80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0,70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0,50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0 60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0,30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0,60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0,30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0,30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74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Доля неправильных ответов qi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0,10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0,30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0,50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0,60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0,60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0,70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0,50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0,70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74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piqi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0,09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0,16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0,16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0,25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0,24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0,24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0,24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0,21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0,25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0,21</w:t>
            </w:r>
          </w:p>
        </w:tc>
      </w:tr>
      <w:tr w:rsidR="0057400B" w:rsidRPr="00911915" w:rsidTr="00065CA8">
        <w:trPr>
          <w:tblCellSpacing w:w="0" w:type="dxa"/>
        </w:trPr>
        <w:tc>
          <w:tcPr>
            <w:tcW w:w="74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EA7042" w:rsidP="00065CA8">
            <w:pPr>
              <w:jc w:val="both"/>
            </w:pPr>
            <w:r>
              <w:pict>
                <v:shape id="_x0000_i1026" type="#_x0000_t75" style="width:6.75pt;height:9pt">
                  <v:imagedata r:id="rId5" o:title=""/>
                </v:shape>
              </w:pict>
            </w:r>
            <w:r w:rsidR="0057400B" w:rsidRPr="00911915">
              <w:t>piqi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0,30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0,46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0,50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0,49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0,49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0,49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0,46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0,49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0,50</w:t>
            </w:r>
          </w:p>
        </w:tc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400B" w:rsidRPr="00911915" w:rsidRDefault="0057400B" w:rsidP="00065CA8">
            <w:pPr>
              <w:jc w:val="both"/>
            </w:pPr>
            <w:r w:rsidRPr="00911915">
              <w:t>0,46</w:t>
            </w:r>
          </w:p>
        </w:tc>
      </w:tr>
    </w:tbl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Исходя из специфики комплексного представления, которое нам необходимо было сформировать, для первой серии формирующего эксперимента мы разработали специальную методику, направленную на создание устойчивого комплексного представления о валидности и надежности теста, сохраняющего свою целостность в педагогическом процессе (свой вариант).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Во второй серии формирующего эксперимента мы стремились показать взаимосвязь коэффициента связи, являющегося точным аналогом классического коэффициента r для данных, полученных дихометрическим разделением на две группы.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Материал, разработанный для проведения двух серий экспериментальных исследований, должен был соответствовать требованиям ГОС. Поэтому задания формирующего эксперимента были разработаны с учетом требований Госстандарта образования по предметным областям подготовки специалистов физкультурного института, а именно по курсам "Технические и аудиовизуальные средства обучения", "Информационные технологии в физической культуре и спорте" и "Психология физического воспитания".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В соответствии с первой задачей формирующего эксперимента была разработана специальная методика для индивидуальной работы со студентами 1-4-го курсов ЧИФК (Якутия). Необходимо было сформировать у них устойчивое комплексное знание по разделам вышеназванных предметов.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Были использованы тесты с различными вариациями, соответствующими разделам курса.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Вторым условием обеспечения валидности и надежности теста для нашего исследования является целостная личностно-профессиональная характеристика - образованность студента. Образованность рассматривается нами как результат образования, который характеризует умения обучающихся решать задачи четырех групп: познавательные, деятельностно -практические, социального взаимодействия, саморегулирования.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Мы считаем, что основная проблема заключается в противоречии между потребностью в самовыражении, самоутверждении студентов и отсутствием необходимых умений, недостаточным осознанием своих возможностей, интересов, способностей.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Следовательно, предметом анализа является корреляция между познавательными интересами, самооценкой и познавательными умениями.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Анализ коэффициента корреляции показывает увеличение тесноты связи познавательных, внеучебных интересов, самооценки и умений. Этот факт мы рассматриваем как свидетельство того, что когнитивный компонент, организованный в опытно-экспериментальной работе на основе разработанной модели, способствует прогрессивному разрешению основного противоречия возраста. Однако анализ коэффициентов корреляции между познавательным интересом и самооценкой показывает, что теснота связей этих показателей уменьшилась. Мы предполагаем, что полученный результат отражает реальную тенденцию возрастного развития: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Второй этап решения поставленной задачи - определение результативности проведения теста - связан с поиском адекватной оценки познавательного потенциала личности студента.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Для выяснения связи между критериями коэффициенты, полученные дихометрическим путем, были разделены на две группы.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Формирующий этап опытно-экспериментальной работы был направлен на преобразование условий, в которых осуществлялся процесс проведения контроля знаний студентов, участвующих в эксперименте.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Затем для сравнения корреляционных плеяд был разработан комплекс тестовых заданий по разделу 2 главы 9 учебника Е.П. Ильина "Психология физического воспитания".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В ходе тестирования нами получены следующие результаты (см. таблицу).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Практическая значимость исследования заключается в следующем: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1. Выявлены качественные изменения в технологии проведения теста, что, безусловно, способствует переходу на более высокий уровень образованности студентов.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2. Степень достоверности критериев, включающая совокупность ориентировочных связей у всех испытуемых, прошедших проверку, возросла.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3. Доказаны валидность и надежность тестовых заданий.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Таким образом, разработанные в рамках системного подхода в ходе формирующего эксперимента тестовые задания, методы составления экспертной оценки контроля знаний способствуют реализации мониторинга исследования тестовых заданий в учебно-познавательной деятельности. </w:t>
      </w:r>
    </w:p>
    <w:p w:rsidR="0057400B" w:rsidRPr="004223EE" w:rsidRDefault="0057400B" w:rsidP="0057400B">
      <w:pPr>
        <w:spacing w:before="120"/>
        <w:jc w:val="center"/>
        <w:rPr>
          <w:b/>
          <w:bCs/>
          <w:sz w:val="28"/>
          <w:szCs w:val="28"/>
        </w:rPr>
      </w:pPr>
      <w:r w:rsidRPr="004223EE">
        <w:rPr>
          <w:b/>
          <w:bCs/>
          <w:sz w:val="28"/>
          <w:szCs w:val="28"/>
        </w:rPr>
        <w:t>Список литературы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1. </w:t>
      </w:r>
      <w:r w:rsidRPr="00D0583B">
        <w:t>Аванесов В.С.</w:t>
      </w:r>
      <w:r w:rsidRPr="00911915">
        <w:t xml:space="preserve"> </w:t>
      </w:r>
      <w:r w:rsidRPr="00D0583B">
        <w:t>Тесты в социологическом исследовании</w:t>
      </w:r>
      <w:r w:rsidRPr="00911915">
        <w:t xml:space="preserve">. М., 1982. - 191 с.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2. </w:t>
      </w:r>
      <w:r w:rsidRPr="00D0583B">
        <w:t>Антонов Ю.С.</w:t>
      </w:r>
      <w:r w:rsidRPr="00911915">
        <w:t xml:space="preserve">, </w:t>
      </w:r>
      <w:r w:rsidRPr="00D0583B">
        <w:t>Хохолов А.М.</w:t>
      </w:r>
      <w:r w:rsidRPr="00911915">
        <w:t xml:space="preserve"> </w:t>
      </w:r>
      <w:r w:rsidRPr="00D0583B">
        <w:t>Тестирование (теория и практика)</w:t>
      </w:r>
      <w:r w:rsidRPr="00911915">
        <w:t xml:space="preserve">. Якутск, 2000. - 116 с.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3. </w:t>
      </w:r>
      <w:r w:rsidRPr="00D0583B">
        <w:t>Джон Равен</w:t>
      </w:r>
      <w:r w:rsidRPr="00911915">
        <w:t xml:space="preserve">. </w:t>
      </w:r>
      <w:r w:rsidRPr="00D0583B">
        <w:t>Педагогическое тестирование</w:t>
      </w:r>
      <w:r w:rsidRPr="00911915">
        <w:t xml:space="preserve">. Проблемы, заблуждения, перспективы. М., 2001. - 140 с.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4. </w:t>
      </w:r>
      <w:r w:rsidRPr="00D0583B">
        <w:t>Майоров А.Н.</w:t>
      </w:r>
      <w:r w:rsidRPr="00911915">
        <w:t xml:space="preserve"> </w:t>
      </w:r>
      <w:r w:rsidRPr="00D0583B">
        <w:t>Тесты школьных достижений: конструирование, проведение, использование</w:t>
      </w:r>
      <w:r w:rsidRPr="00911915">
        <w:t xml:space="preserve">. Издание второе. СПб, 1997. - 304 с.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5. </w:t>
      </w:r>
      <w:r w:rsidRPr="00D0583B">
        <w:t>Клайн П.</w:t>
      </w:r>
      <w:r w:rsidRPr="00911915">
        <w:t xml:space="preserve"> </w:t>
      </w:r>
      <w:r w:rsidRPr="00D0583B">
        <w:t>Справочное руководство по конструированию тестов</w:t>
      </w:r>
      <w:r w:rsidRPr="00911915">
        <w:t xml:space="preserve">. Киев, 1994. - 204 с.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6. </w:t>
      </w:r>
      <w:r w:rsidRPr="00D0583B">
        <w:t>Тесты для старшеклассников и абитуриентов</w:t>
      </w:r>
      <w:r w:rsidRPr="00911915">
        <w:t xml:space="preserve">. Телетестинг-99. М., 1999. - 144 с. </w:t>
      </w:r>
    </w:p>
    <w:p w:rsidR="0057400B" w:rsidRPr="00911915" w:rsidRDefault="0057400B" w:rsidP="0057400B">
      <w:pPr>
        <w:spacing w:before="120"/>
        <w:ind w:firstLine="567"/>
        <w:jc w:val="both"/>
      </w:pPr>
      <w:r w:rsidRPr="00911915">
        <w:t xml:space="preserve">7. </w:t>
      </w:r>
      <w:r w:rsidRPr="00D0583B">
        <w:t>Штернберг Р.Дж.</w:t>
      </w:r>
      <w:r w:rsidRPr="00911915">
        <w:t xml:space="preserve"> </w:t>
      </w:r>
      <w:r w:rsidRPr="00D0583B">
        <w:t>Интеллект, приносящий успех</w:t>
      </w:r>
      <w:r w:rsidRPr="00911915">
        <w:t xml:space="preserve">. Минск, 2000. - 367 с.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00B"/>
    <w:rsid w:val="00002B5A"/>
    <w:rsid w:val="00065CA8"/>
    <w:rsid w:val="0010437E"/>
    <w:rsid w:val="002677C5"/>
    <w:rsid w:val="00316F32"/>
    <w:rsid w:val="00381C12"/>
    <w:rsid w:val="004223EE"/>
    <w:rsid w:val="0057400B"/>
    <w:rsid w:val="00616072"/>
    <w:rsid w:val="00697344"/>
    <w:rsid w:val="006A5004"/>
    <w:rsid w:val="00710178"/>
    <w:rsid w:val="0081563E"/>
    <w:rsid w:val="008B35EE"/>
    <w:rsid w:val="00905CC1"/>
    <w:rsid w:val="00911915"/>
    <w:rsid w:val="00B42C45"/>
    <w:rsid w:val="00B47B6A"/>
    <w:rsid w:val="00BB6D71"/>
    <w:rsid w:val="00D0583B"/>
    <w:rsid w:val="00EA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B39E084C-5F62-439D-9FE8-1D6B722F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0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740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Мониторинг исследования тестовых заданий на основе применения коэффициентов связи и корреляционной матрицы </vt:lpstr>
    </vt:vector>
  </TitlesOfParts>
  <Company>Home</Company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Мониторинг исследования тестовых заданий на основе применения коэффициентов связи и корреляционной матрицы </dc:title>
  <dc:subject/>
  <dc:creator>User</dc:creator>
  <cp:keywords/>
  <dc:description/>
  <cp:lastModifiedBy>admin</cp:lastModifiedBy>
  <cp:revision>2</cp:revision>
  <dcterms:created xsi:type="dcterms:W3CDTF">2014-02-14T19:25:00Z</dcterms:created>
  <dcterms:modified xsi:type="dcterms:W3CDTF">2014-02-14T19:25:00Z</dcterms:modified>
</cp:coreProperties>
</file>