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2A" w:rsidRDefault="009F212A" w:rsidP="001B3A00">
      <w:pPr>
        <w:jc w:val="center"/>
        <w:rPr>
          <w:rFonts w:ascii="Times New Roman" w:hAnsi="Times New Roman"/>
          <w:b/>
          <w:sz w:val="32"/>
          <w:szCs w:val="32"/>
        </w:rPr>
      </w:pPr>
    </w:p>
    <w:p w:rsidR="0092289A" w:rsidRPr="003C5333" w:rsidRDefault="0092289A" w:rsidP="001B3A0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Нормативные документы, регулирующие расчеты с бюджетом по налогам и сборам.</w:t>
      </w:r>
    </w:p>
    <w:p w:rsidR="0092289A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Налоговая система Российской Федерации является важной составной частью государственной системы Российской Федерации в целом. Согласно ст. 57 Конституции РФ, каждый налогоплательщик обязан платить законно установленные налоги и сборы.</w:t>
      </w:r>
      <w:r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92289A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ст. 8 Налогового Кодекса РФ, под налогом понимается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образований.</w:t>
      </w:r>
    </w:p>
    <w:p w:rsidR="0092289A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сбором понимается 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органами, органами местного самоуправления, иными уполномоченными органами и должностными лицами юридически значимых действий, включая предоставление определенных разрешений.</w:t>
      </w:r>
    </w:p>
    <w:p w:rsidR="0092289A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Налоги, сборы, пошлины и другие платежи формируют бюджетную систему Российской Федерации. Согласно законодательству о налогах и сборах, налоги и сборы в зависимости от уровня взимания и распоряжения классифицируются на федеральные, региональные и местные.</w:t>
      </w:r>
    </w:p>
    <w:p w:rsidR="0092289A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B59">
        <w:rPr>
          <w:rFonts w:ascii="Times New Roman" w:hAnsi="Times New Roman"/>
          <w:sz w:val="28"/>
          <w:szCs w:val="28"/>
        </w:rPr>
        <w:t>Федеральные  налоги  и  сбо</w:t>
      </w:r>
      <w:r>
        <w:rPr>
          <w:rFonts w:ascii="Times New Roman" w:hAnsi="Times New Roman"/>
          <w:sz w:val="28"/>
          <w:szCs w:val="28"/>
        </w:rPr>
        <w:t xml:space="preserve">ры  устанавливаются  Налоговым Кодексом </w:t>
      </w:r>
      <w:r w:rsidRPr="00383B5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B59">
        <w:rPr>
          <w:rFonts w:ascii="Times New Roman" w:hAnsi="Times New Roman"/>
          <w:sz w:val="28"/>
          <w:szCs w:val="28"/>
        </w:rPr>
        <w:t>обязательны на всей территории РФ.</w:t>
      </w:r>
      <w:r>
        <w:rPr>
          <w:rFonts w:ascii="Times New Roman" w:hAnsi="Times New Roman"/>
          <w:sz w:val="28"/>
          <w:szCs w:val="28"/>
        </w:rPr>
        <w:t xml:space="preserve"> К ним относятся: налог на прибыль организации, налог на добавленную стоимость (НДС), налог на доходы физических лиц (НДФЛ), акцизы, единый социальный налог (ЕСН), налог на добычу полезных ископаемых, государственная пошлина и др.</w:t>
      </w:r>
    </w:p>
    <w:p w:rsidR="0092289A" w:rsidRDefault="0092289A" w:rsidP="001B3A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83B59">
        <w:rPr>
          <w:rFonts w:ascii="Times New Roman" w:hAnsi="Times New Roman"/>
          <w:sz w:val="28"/>
          <w:szCs w:val="28"/>
        </w:rPr>
        <w:t xml:space="preserve"> Региональные налоги и сборы у</w:t>
      </w:r>
      <w:r>
        <w:rPr>
          <w:rFonts w:ascii="Times New Roman" w:hAnsi="Times New Roman"/>
          <w:sz w:val="28"/>
          <w:szCs w:val="28"/>
        </w:rPr>
        <w:t xml:space="preserve">станавливаются, изменяются или </w:t>
      </w:r>
      <w:r w:rsidRPr="00383B59">
        <w:rPr>
          <w:rFonts w:ascii="Times New Roman" w:hAnsi="Times New Roman"/>
          <w:sz w:val="28"/>
          <w:szCs w:val="28"/>
        </w:rPr>
        <w:t>отменяются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B59">
        <w:rPr>
          <w:rFonts w:ascii="Times New Roman" w:hAnsi="Times New Roman"/>
          <w:sz w:val="28"/>
          <w:szCs w:val="28"/>
        </w:rPr>
        <w:t>законами  субъектов  в  РФ  в  соответствии  с   Налоговым   кодексом.   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B59">
        <w:rPr>
          <w:rFonts w:ascii="Times New Roman" w:hAnsi="Times New Roman"/>
          <w:sz w:val="28"/>
          <w:szCs w:val="28"/>
        </w:rPr>
        <w:t>обязательны к уплате на всей территории субъекта РФ.</w:t>
      </w:r>
      <w:r>
        <w:rPr>
          <w:rFonts w:ascii="Times New Roman" w:hAnsi="Times New Roman"/>
          <w:sz w:val="28"/>
          <w:szCs w:val="28"/>
        </w:rPr>
        <w:t xml:space="preserve"> К нам относятся: налог на имущество, транспортный налог, налог на игорный бизнес.</w:t>
      </w:r>
    </w:p>
    <w:p w:rsidR="0092289A" w:rsidRDefault="0092289A" w:rsidP="006F3F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83B59">
        <w:rPr>
          <w:rFonts w:ascii="Times New Roman" w:hAnsi="Times New Roman"/>
          <w:sz w:val="28"/>
          <w:szCs w:val="28"/>
        </w:rPr>
        <w:t>Местные налоги  и  сборы  устанавливаются,  изменяются  или  отменяются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B59">
        <w:rPr>
          <w:rFonts w:ascii="Times New Roman" w:hAnsi="Times New Roman"/>
          <w:sz w:val="28"/>
          <w:szCs w:val="28"/>
        </w:rPr>
        <w:t>нормативными правовыми  актами  местного  самоуправления  в  соответствии 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B59">
        <w:rPr>
          <w:rFonts w:ascii="Times New Roman" w:hAnsi="Times New Roman"/>
          <w:sz w:val="28"/>
          <w:szCs w:val="28"/>
        </w:rPr>
        <w:t>Кодексом.  Они  обязательны  к  уплате  на  всей  территории 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B59">
        <w:rPr>
          <w:rFonts w:ascii="Times New Roman" w:hAnsi="Times New Roman"/>
          <w:sz w:val="28"/>
          <w:szCs w:val="28"/>
        </w:rPr>
        <w:t>образования.</w:t>
      </w:r>
      <w:r>
        <w:rPr>
          <w:rFonts w:ascii="Times New Roman" w:hAnsi="Times New Roman"/>
          <w:sz w:val="28"/>
          <w:szCs w:val="28"/>
        </w:rPr>
        <w:t xml:space="preserve"> К местным налогам и сборам относятся: налог на имущество физических лиц, земельный налог и др.</w:t>
      </w:r>
      <w:r>
        <w:rPr>
          <w:rStyle w:val="a5"/>
          <w:rFonts w:ascii="Times New Roman" w:hAnsi="Times New Roman"/>
          <w:sz w:val="28"/>
          <w:szCs w:val="28"/>
        </w:rPr>
        <w:footnoteReference w:id="2"/>
      </w: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ПБУ 18/ 02 «Учет расчетов по налогу на прибыль организации» (Утверждено приказом Минфина РФ от 11.02.2008 №23н) устанавливаются правила формирования в бухгалтерском учете и порядок раскрытия в бухгалтерской отчетности информации о расчетах по налогу на прибыль организаций для организаций, признаваемых в установленном законодательством РФ порядке налогоплательщиками налога на прибыль, а также определяет взаимосвязь показателя, отражающего прибыль (убыток), исчисленного в порядке, установленном нормативными правовыми актами  по бухгалтерскому учету РФ, и налоговой базы по налогу на прибыль за отчетный период, рассчитанный в порядке, установленным законодательством РФ о налогах и сборах.</w:t>
      </w: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предусматривает отражение в бухгалтерском учете не только суммы налога на прибыль, подлежащей уплате в бюджет, но и отражение в бухгалтерском учете сумм, способных оказать влияние на величину налога на прибыль последующих отчетных периодов в соответствии с законодательством РФ.</w:t>
      </w:r>
      <w:r>
        <w:rPr>
          <w:rStyle w:val="a5"/>
          <w:rFonts w:ascii="Times New Roman" w:hAnsi="Times New Roman"/>
          <w:sz w:val="28"/>
          <w:szCs w:val="28"/>
        </w:rPr>
        <w:footnoteReference w:id="3"/>
      </w: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к нормативным документам, регулирующим расчеты с бюджетом по налогам и сборам относится  План счетов бухгалтерского учета финансово – хозяйственной деятельности организаций. Утверждены приказом Министерства финансов РФ от 31.10.2000 №94н (в ред. от 07.05.2003№38н, 18.09.2006 №115н).</w:t>
      </w:r>
      <w:r>
        <w:rPr>
          <w:rStyle w:val="a5"/>
          <w:rFonts w:ascii="Times New Roman" w:hAnsi="Times New Roman"/>
          <w:sz w:val="28"/>
          <w:szCs w:val="28"/>
        </w:rPr>
        <w:footnoteReference w:id="4"/>
      </w: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528D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Документальное оформление учета расчетов с бюджетом по налогам и сборам.</w:t>
      </w:r>
    </w:p>
    <w:p w:rsidR="0092289A" w:rsidRPr="009528D1" w:rsidRDefault="0092289A" w:rsidP="009528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Юридические и физические лица обязаны уплачивать налоги и сборы и в соответствии с налоговым законодательством являются налогоплательщиками, которые обязаны самостоятельно в полном объеме и не позже срока, установленного в законе, исполнить свою обязанность по уплате конкретного налога. Сумму налога, подлежащую уплате за налоговый период, налогоплательщик должен исчислить самостоятельно, исключение имеет место в тех случаях, когда обязанность по исчислению суммы налога возложена на налоговый орган или налогового агента. Важной обязанностью налогоплательщиков, связанной с исчислением и уплатой налогов, является предоставление налоговой декларации по тем налогам, которые они обязаны перечислить в бюджет. Сроки уплаты налогов и сборов устанавливаются применительно к каждому налогу и сбору.</w:t>
      </w: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446">
        <w:rPr>
          <w:rFonts w:ascii="Times New Roman" w:hAnsi="Times New Roman"/>
          <w:i/>
          <w:sz w:val="28"/>
          <w:szCs w:val="28"/>
        </w:rPr>
        <w:t>Налог на прибыль</w:t>
      </w:r>
      <w:r>
        <w:rPr>
          <w:rFonts w:ascii="Times New Roman" w:hAnsi="Times New Roman"/>
          <w:sz w:val="28"/>
          <w:szCs w:val="28"/>
        </w:rPr>
        <w:t xml:space="preserve"> в соответствии со ст. 247 НК РФ рассчитывается с суммы прибыли, полученной в отчетном периоде. Налоговым периодом по налогу на прибыль признается календарный год. Налоговым кодексом Российской Федерации предусмотрено исчисление:</w:t>
      </w:r>
    </w:p>
    <w:p w:rsidR="0092289A" w:rsidRDefault="0092289A" w:rsidP="00F364B6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Налога на прибыль за налоговый период;</w:t>
      </w:r>
    </w:p>
    <w:p w:rsidR="0092289A" w:rsidRDefault="0092289A" w:rsidP="00F364B6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Квартальных авансовых платежей по налогу на прибыль;</w:t>
      </w:r>
    </w:p>
    <w:p w:rsidR="0092289A" w:rsidRDefault="0092289A" w:rsidP="00F364B6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Ежемесячных авансовых платежей по налогу на прибыль.</w:t>
      </w:r>
    </w:p>
    <w:p w:rsidR="0092289A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 на прибыль, подлежащий уплате в бюджет в отчетном периоде, называется текущим налогом на прибыль. Способ определения текущего налога на прибыль закрепляется в учетной политике организации.</w:t>
      </w:r>
    </w:p>
    <w:p w:rsidR="0092289A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446">
        <w:rPr>
          <w:rFonts w:ascii="Times New Roman" w:hAnsi="Times New Roman"/>
          <w:i/>
          <w:sz w:val="28"/>
          <w:szCs w:val="28"/>
        </w:rPr>
        <w:t>Налог на добавленную стоимость</w:t>
      </w:r>
      <w:r>
        <w:rPr>
          <w:rFonts w:ascii="Times New Roman" w:hAnsi="Times New Roman"/>
          <w:sz w:val="28"/>
          <w:szCs w:val="28"/>
        </w:rPr>
        <w:t xml:space="preserve"> взимается на всех стадиях производства и распределения и представляет собой универсальный косвенный налог на потребление. Налоговый период устанавливается как календарный месяц, а для налогоплательщиков с ежемесячными в течение квартала суммами выручки от реализации товаров без учета НДС, не превышающими 1 млн. руб., налоговый период устанавливается как квартал. Налоговая база по НДС определяется как наиболее ранняя из следующих дат: день отгрузки товаров или день оплаты (п.1 ст.167 НК РФ). Согласно п.3 ст. 169 НК РФ, налогоплательщик обязан составить счет – фактуру, вести журналы учета полученных и выставленных счетов – фактур, книги покупок и книги продаж при совершении операций, признаваемых объектом налогообложения в соответствии с главой 21 НК РФ, в том числе не подлежащих налогообложению в соответствии со ст.149 НК РФ.</w:t>
      </w:r>
    </w:p>
    <w:p w:rsidR="0092289A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4BC">
        <w:rPr>
          <w:rFonts w:ascii="Times New Roman" w:hAnsi="Times New Roman"/>
          <w:i/>
          <w:sz w:val="28"/>
          <w:szCs w:val="28"/>
        </w:rPr>
        <w:t>Государственная пошлина</w:t>
      </w:r>
      <w:r>
        <w:rPr>
          <w:rFonts w:ascii="Times New Roman" w:hAnsi="Times New Roman"/>
          <w:sz w:val="28"/>
          <w:szCs w:val="28"/>
        </w:rPr>
        <w:t xml:space="preserve"> – это обязательный платеж, который организация и предприниматели перечисляют органам государственной власти. Установлены ставки пошлины за обращение в суды общей юрисдикции, Конституционный суд Российской Федерации, за нотариальные и другие юридические действия.</w:t>
      </w:r>
    </w:p>
    <w:p w:rsidR="0092289A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4BC">
        <w:rPr>
          <w:rFonts w:ascii="Times New Roman" w:hAnsi="Times New Roman"/>
          <w:i/>
          <w:sz w:val="28"/>
          <w:szCs w:val="28"/>
        </w:rPr>
        <w:t xml:space="preserve">Налог на имущество организаций </w:t>
      </w:r>
      <w:r>
        <w:rPr>
          <w:rFonts w:ascii="Times New Roman" w:hAnsi="Times New Roman"/>
          <w:sz w:val="28"/>
          <w:szCs w:val="28"/>
        </w:rPr>
        <w:t>установлен главой 30 НК РФ и вводится в действие региональным законом. Налогом на имущество облагается стоимость основных средств, которые учитываются на балансе по правилам бухгалтерского учета (п.1 ст.374 НК РФ). Ставка налога на имущество устанавливается региональными властями и не может превышать 2,2%. В течение года организации перечисляют авансовые платежи по налогу за каждый отчетный период. Окончательно организация рассчитывается с бюджетом по налогу на имущество по итогам года. Налог с имущества, которое числится на балансе отдельного подразделения, необходимо уплачивать по месту нахождения данного подразделения.</w:t>
      </w:r>
    </w:p>
    <w:p w:rsidR="0092289A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0EA">
        <w:rPr>
          <w:rFonts w:ascii="Times New Roman" w:hAnsi="Times New Roman"/>
          <w:i/>
          <w:sz w:val="28"/>
          <w:szCs w:val="28"/>
        </w:rPr>
        <w:t>Транспортный налог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Ему посвящена глава 28 НК РФ. Плательщиками налога являются как юридические, так и физические лица, имеющие транспортные средства. Транспорт должен быть зарегистрирован в порядке, установленном законодательством РФ. Для расчета транспортного налога необходимо налоговую базу умножить на соответствующую ставку налога.  В соответствии со ст.359 НК РФ весь транспорт делится на 3 группы, в каждой из которых налоговая ставка и налоговая база определяется по – своему. Налоговым периодом по транспортному налогу является календарный год. Налог уплачивается по месту регистрации транспортного средства.</w:t>
      </w:r>
    </w:p>
    <w:p w:rsidR="0092289A" w:rsidRPr="00007654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654">
        <w:rPr>
          <w:rFonts w:ascii="Times New Roman" w:hAnsi="Times New Roman"/>
          <w:i/>
          <w:sz w:val="28"/>
          <w:szCs w:val="28"/>
        </w:rPr>
        <w:t>Единый социальный налог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Работники организации подлежат обязательному социальному страхованию. В соответствии с главой 24 НК РФ единый социальный налог зачисляется в государственные внебюджетные фонды: Пенсионный фонд РФ, Фонд социального страхования РФ и фонды обязательного медицинского страхования. Сумма ЕСН исчисляется как соответствующая тарифной ставке процентная доля налоговой базы отдельно в федеральный бюджет и каждый фонд. В течение отчетного периода по итогам каждого календарного месяца налогоплательщики исчисляют ежемесячные авансовые платежи по налогу исходя из величины выплат и иных вознаграждений, начисленных с начала налогового периода до окончания соответствующего календарного месяца и ставки налога. Уплата ежемесячных авансовых платежей производится не позднее 15-го числа следующего месяца. Налогоплательщики предоставляют налоговую декларацию по налогу по форме, утвержденной Министерством финансов РФ, не позднее 30 марта года, следующего за истекшим налоговым периодом. Копию налоговой декларации по налогу с отметкой налогового органа или иным документом, подтверждающим предоставление декларации в налоговый орган, налогоплательщик не позднее 1 июля года, следующего за истекшим налоговым периодом, представляет в территориальный орган Пенсионного фонда РФ.</w:t>
      </w:r>
      <w:r>
        <w:rPr>
          <w:rStyle w:val="a5"/>
          <w:rFonts w:ascii="Times New Roman" w:hAnsi="Times New Roman"/>
          <w:sz w:val="28"/>
          <w:szCs w:val="28"/>
        </w:rPr>
        <w:footnoteReference w:id="5"/>
      </w:r>
    </w:p>
    <w:p w:rsidR="0092289A" w:rsidRPr="00F364B6" w:rsidRDefault="0092289A" w:rsidP="00F364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Pr="008A1FCD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2289A" w:rsidRPr="006F3F87" w:rsidRDefault="0092289A" w:rsidP="006F3F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8A1FCD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863DF">
        <w:rPr>
          <w:rFonts w:ascii="Times New Roman" w:hAnsi="Times New Roman"/>
          <w:b/>
          <w:sz w:val="32"/>
          <w:szCs w:val="32"/>
        </w:rPr>
        <w:t>Организация аналитического и синтетического учета расчетов с бюджетом по налогам и сборам.</w:t>
      </w:r>
    </w:p>
    <w:p w:rsidR="0092289A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учета расчетов с бюджетом по налогам и сборам используют счет 68 «Расчеты по налогам и сборам» и счет 19 «Налог на добавленную стоимость по приобретенным ценностям».</w:t>
      </w:r>
    </w:p>
    <w:p w:rsidR="0092289A" w:rsidRDefault="0092289A" w:rsidP="008A1F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3DF">
        <w:rPr>
          <w:rFonts w:ascii="Times New Roman" w:hAnsi="Times New Roman"/>
          <w:sz w:val="28"/>
          <w:szCs w:val="28"/>
        </w:rPr>
        <w:t>Счет 68 «Расчеты по налогам и сборам» предназначен для обобщения информации о расчетах с бюджетами по налогам и сборам, уплачиваемым организацией, и налогам с работниками этой организации. Счет 68 «Расчеты по налогам и сборам» кредитуется на суммы, причитающиеся по налоговым декларациям (расчетам) ко взносу в бюджеты (в корреспонденции со счетом 99 «Прибыли и убытки» – на сумму налога на прибыль, со счетом 70 «Расчеты с персоналом по оплате труда» – на сумму подоходного налога и т.д.). По дебету счета 68 «Расчеты по налогам и сборам» отражаются суммы, фактически перечисленные в бюджет, а также суммы налога на добавленную стоимость, списанные со счета 19 «Налог на добавленную стоимость по приобретенным ценностям». Аналитический учет по счету 68 «Расчеты по налогам и сборам» ведется по видам налогов. Организация аналитического учета расчетов с бюджетом должна строиться таким образом, чтобы получить необходимую информацию по каждому виду налогов в бюджет. Счет 68 на конец отчетного месяца может иметь развернутое сальдо (дебетовое и кредитовое) по налоговым платежам. Каждый месяц на предприятии составляется оборотная ведомость по аналитическим счетам счета 68 «Расчеты по налогам и сборам». При составлении баланса дебетовый остаток по счету 68 отражается в активе баланса, а кредитовый — в пассиве</w:t>
      </w:r>
      <w:r>
        <w:rPr>
          <w:rFonts w:ascii="Times New Roman" w:hAnsi="Times New Roman"/>
          <w:sz w:val="28"/>
          <w:szCs w:val="28"/>
        </w:rPr>
        <w:t>.</w:t>
      </w:r>
    </w:p>
    <w:p w:rsidR="0092289A" w:rsidRDefault="0092289A" w:rsidP="008A1F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3DF">
        <w:rPr>
          <w:rFonts w:ascii="Times New Roman" w:hAnsi="Times New Roman"/>
          <w:sz w:val="28"/>
          <w:szCs w:val="28"/>
        </w:rPr>
        <w:t>Счет 68 «Расчеты по налогам и сборам» корреспондирует со счетами:</w:t>
      </w:r>
    </w:p>
    <w:p w:rsidR="0092289A" w:rsidRPr="003863DF" w:rsidRDefault="0092289A" w:rsidP="008A1F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  <w:gridCol w:w="60"/>
        <w:gridCol w:w="4365"/>
      </w:tblGrid>
      <w:tr w:rsidR="0092289A" w:rsidRPr="005E69AC" w:rsidTr="009631AE">
        <w:trPr>
          <w:trHeight w:val="711"/>
        </w:trPr>
        <w:tc>
          <w:tcPr>
            <w:tcW w:w="4230" w:type="dxa"/>
          </w:tcPr>
          <w:p w:rsidR="0092289A" w:rsidRPr="005E69AC" w:rsidRDefault="0092289A" w:rsidP="009631AE">
            <w:pPr>
              <w:tabs>
                <w:tab w:val="left" w:pos="7920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По дебету</w:t>
            </w:r>
          </w:p>
        </w:tc>
        <w:tc>
          <w:tcPr>
            <w:tcW w:w="4425" w:type="dxa"/>
            <w:gridSpan w:val="2"/>
          </w:tcPr>
          <w:p w:rsidR="0092289A" w:rsidRPr="005E69AC" w:rsidRDefault="0092289A" w:rsidP="009631AE">
            <w:pPr>
              <w:pStyle w:val="10"/>
              <w:jc w:val="center"/>
              <w:rPr>
                <w:sz w:val="28"/>
                <w:szCs w:val="28"/>
              </w:rPr>
            </w:pPr>
            <w:r w:rsidRPr="005E69AC">
              <w:rPr>
                <w:sz w:val="28"/>
                <w:szCs w:val="28"/>
              </w:rPr>
              <w:t>По кредиту</w:t>
            </w:r>
          </w:p>
        </w:tc>
      </w:tr>
      <w:tr w:rsidR="0092289A" w:rsidRPr="005E69AC" w:rsidTr="009631AE">
        <w:trPr>
          <w:trHeight w:val="2445"/>
        </w:trPr>
        <w:tc>
          <w:tcPr>
            <w:tcW w:w="4290" w:type="dxa"/>
            <w:gridSpan w:val="2"/>
          </w:tcPr>
          <w:p w:rsidR="0092289A" w:rsidRPr="005E69AC" w:rsidRDefault="0092289A" w:rsidP="009631AE">
            <w:pPr>
              <w:pStyle w:val="10"/>
            </w:pPr>
            <w:r w:rsidRPr="005E69AC">
              <w:t>19 налог на добавленную стоимость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50 касса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51 расчетные счета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52 валютные счета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55 специальные счета в банках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66 расчеты по краткосрочным кредитам и займам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67 расчеты по долгосрочным кредитам и займам</w:t>
            </w:r>
          </w:p>
          <w:p w:rsidR="0092289A" w:rsidRPr="005E69AC" w:rsidRDefault="0092289A" w:rsidP="009631AE">
            <w:pPr>
              <w:tabs>
                <w:tab w:val="left" w:pos="792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89A" w:rsidRPr="005E69AC" w:rsidRDefault="0092289A" w:rsidP="009631AE">
            <w:pPr>
              <w:tabs>
                <w:tab w:val="left" w:pos="792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92289A" w:rsidRPr="005E69AC" w:rsidRDefault="0092289A" w:rsidP="009631AE">
            <w:pPr>
              <w:pStyle w:val="10"/>
            </w:pPr>
            <w:r w:rsidRPr="005E69AC">
              <w:t>08 вложения во внеоборотные активы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10 материалы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11 животные на выращивании и откорме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15 заготовление и приобретение материальных ценностей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20 основное производство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23 вспомогательное производство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26 общехозяйственные расходы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29 обслуживающие производства и хозяйства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41 товары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44 расходы на продажу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51 расчетные счета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52 валютные счета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55 специальные счета в банке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70 расчеты с персоналом по оплате труда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75 расчеты с учредителями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90 продажи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91 прочие доходы и расходы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98 доходы будущих периодов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99 прибыль и убытки</w:t>
            </w:r>
          </w:p>
          <w:p w:rsidR="0092289A" w:rsidRPr="005E69AC" w:rsidRDefault="0092289A" w:rsidP="009631AE">
            <w:pPr>
              <w:pStyle w:val="10"/>
            </w:pPr>
          </w:p>
          <w:p w:rsidR="0092289A" w:rsidRPr="005E69AC" w:rsidRDefault="0092289A" w:rsidP="009631AE">
            <w:pPr>
              <w:pStyle w:val="10"/>
            </w:pPr>
          </w:p>
        </w:tc>
      </w:tr>
    </w:tbl>
    <w:p w:rsidR="0092289A" w:rsidRDefault="0092289A" w:rsidP="008A1FCD">
      <w:pPr>
        <w:rPr>
          <w:rFonts w:ascii="Times New Roman" w:hAnsi="Times New Roman"/>
          <w:sz w:val="28"/>
          <w:szCs w:val="28"/>
        </w:rPr>
      </w:pPr>
    </w:p>
    <w:p w:rsidR="0092289A" w:rsidRDefault="0092289A" w:rsidP="00AA05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 19 «Налог на добавленную стоимость по приобретенным ценностям» предназначен для обобщения информации об уплаченных (причитающихся к уплате) организацией суммах налога на добавленную стоимость по приобретенным ценностям, а также работам и услугам.</w:t>
      </w:r>
    </w:p>
    <w:p w:rsidR="0092289A" w:rsidRDefault="0092289A" w:rsidP="00AA05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 19 «Налог на добавленную стоимость по приобретенным ценностям» корреспондирует со счетами:</w:t>
      </w:r>
    </w:p>
    <w:tbl>
      <w:tblPr>
        <w:tblW w:w="9765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5130"/>
      </w:tblGrid>
      <w:tr w:rsidR="0092289A" w:rsidRPr="005E69AC" w:rsidTr="009631AE">
        <w:trPr>
          <w:trHeight w:val="465"/>
        </w:trPr>
        <w:tc>
          <w:tcPr>
            <w:tcW w:w="4635" w:type="dxa"/>
          </w:tcPr>
          <w:p w:rsidR="0092289A" w:rsidRPr="005E69AC" w:rsidRDefault="0092289A" w:rsidP="009631AE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По дебету</w:t>
            </w:r>
          </w:p>
        </w:tc>
        <w:tc>
          <w:tcPr>
            <w:tcW w:w="5130" w:type="dxa"/>
          </w:tcPr>
          <w:p w:rsidR="0092289A" w:rsidRPr="005E69AC" w:rsidRDefault="0092289A" w:rsidP="009631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По кредиту</w:t>
            </w:r>
          </w:p>
        </w:tc>
      </w:tr>
      <w:tr w:rsidR="0092289A" w:rsidRPr="005E69AC" w:rsidTr="009631AE">
        <w:trPr>
          <w:trHeight w:val="2655"/>
        </w:trPr>
        <w:tc>
          <w:tcPr>
            <w:tcW w:w="4635" w:type="dxa"/>
          </w:tcPr>
          <w:p w:rsidR="0092289A" w:rsidRPr="005E69AC" w:rsidRDefault="0092289A" w:rsidP="009631AE">
            <w:pPr>
              <w:pStyle w:val="10"/>
            </w:pPr>
            <w:r w:rsidRPr="005E69AC">
              <w:t>60 расчеты с поставщиками и подрядчиками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76 расчеты с разными дебиторами и кредиторами</w:t>
            </w:r>
          </w:p>
        </w:tc>
        <w:tc>
          <w:tcPr>
            <w:tcW w:w="5130" w:type="dxa"/>
          </w:tcPr>
          <w:p w:rsidR="0092289A" w:rsidRPr="005E69AC" w:rsidRDefault="0092289A" w:rsidP="009631AE">
            <w:pPr>
              <w:pStyle w:val="10"/>
            </w:pPr>
            <w:r w:rsidRPr="005E69AC">
              <w:t>08 вложения во внеоборотные активы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20 основное производство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23 вспомогательное производство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25 общепроизводственные расходы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26 общехозяйственные расходы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29 обслуживание производства и хозяйства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44 расходы на продажу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68 расчеты по налогам и сборам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91 прочие доходы и расходы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94 недостачи и потери от порчи ценностей</w:t>
            </w:r>
          </w:p>
          <w:p w:rsidR="0092289A" w:rsidRPr="005E69AC" w:rsidRDefault="0092289A" w:rsidP="009631AE">
            <w:pPr>
              <w:pStyle w:val="10"/>
            </w:pPr>
            <w:r w:rsidRPr="005E69AC">
              <w:t>99 прибыль и убытки</w:t>
            </w:r>
          </w:p>
          <w:p w:rsidR="0092289A" w:rsidRPr="005E69AC" w:rsidRDefault="0092289A" w:rsidP="009631AE">
            <w:pPr>
              <w:pStyle w:val="10"/>
            </w:pPr>
          </w:p>
        </w:tc>
      </w:tr>
    </w:tbl>
    <w:p w:rsidR="0092289A" w:rsidRDefault="0092289A" w:rsidP="008A1FCD">
      <w:pPr>
        <w:rPr>
          <w:rFonts w:ascii="Times New Roman" w:hAnsi="Times New Roman"/>
          <w:sz w:val="28"/>
          <w:szCs w:val="28"/>
        </w:rPr>
      </w:pPr>
    </w:p>
    <w:p w:rsidR="0092289A" w:rsidRPr="008A1FCD" w:rsidRDefault="0092289A" w:rsidP="0099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8A1FCD">
      <w:pPr>
        <w:jc w:val="center"/>
        <w:rPr>
          <w:rFonts w:ascii="Times New Roman" w:hAnsi="Times New Roman"/>
          <w:i/>
          <w:sz w:val="28"/>
          <w:szCs w:val="28"/>
        </w:rPr>
      </w:pPr>
      <w:r w:rsidRPr="00BD47E7">
        <w:rPr>
          <w:rFonts w:ascii="Times New Roman" w:hAnsi="Times New Roman"/>
          <w:i/>
          <w:sz w:val="28"/>
          <w:szCs w:val="28"/>
        </w:rPr>
        <w:t>Типовые проводки по расчету с бюджетом.</w:t>
      </w:r>
    </w:p>
    <w:tbl>
      <w:tblPr>
        <w:tblW w:w="10095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8382"/>
        <w:gridCol w:w="630"/>
        <w:gridCol w:w="585"/>
        <w:gridCol w:w="14"/>
      </w:tblGrid>
      <w:tr w:rsidR="0092289A" w:rsidRPr="005E69AC" w:rsidTr="009631AE">
        <w:trPr>
          <w:trHeight w:val="360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Наименование хозяйственной операции</w:t>
            </w:r>
          </w:p>
        </w:tc>
        <w:tc>
          <w:tcPr>
            <w:tcW w:w="629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Дт</w:t>
            </w:r>
          </w:p>
        </w:tc>
        <w:tc>
          <w:tcPr>
            <w:tcW w:w="599" w:type="dxa"/>
            <w:gridSpan w:val="2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 xml:space="preserve">Кт </w:t>
            </w:r>
          </w:p>
        </w:tc>
      </w:tr>
      <w:tr w:rsidR="0092289A" w:rsidRPr="005E69AC" w:rsidTr="009631AE">
        <w:trPr>
          <w:trHeight w:val="570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При продаже продукции или другого имущества  исчисленная сумма  НДС отражается:</w:t>
            </w:r>
          </w:p>
        </w:tc>
        <w:tc>
          <w:tcPr>
            <w:tcW w:w="629" w:type="dxa"/>
          </w:tcPr>
          <w:p w:rsidR="0092289A" w:rsidRPr="005E69AC" w:rsidRDefault="0092289A" w:rsidP="009631AE">
            <w:pPr>
              <w:pStyle w:val="10"/>
            </w:pPr>
            <w:r w:rsidRPr="005E69AC">
              <w:t>90, 91</w:t>
            </w:r>
          </w:p>
        </w:tc>
        <w:tc>
          <w:tcPr>
            <w:tcW w:w="599" w:type="dxa"/>
            <w:gridSpan w:val="2"/>
          </w:tcPr>
          <w:p w:rsidR="0092289A" w:rsidRPr="005E69AC" w:rsidRDefault="0092289A" w:rsidP="009631AE">
            <w:pPr>
              <w:pStyle w:val="10"/>
            </w:pPr>
            <w:r w:rsidRPr="005E69AC">
              <w:t>68</w:t>
            </w:r>
          </w:p>
        </w:tc>
      </w:tr>
      <w:tr w:rsidR="0092289A" w:rsidRPr="005E69AC" w:rsidTr="009631AE">
        <w:trPr>
          <w:trHeight w:val="290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Отражен НДС по поступившим материалам</w:t>
            </w:r>
          </w:p>
        </w:tc>
        <w:tc>
          <w:tcPr>
            <w:tcW w:w="629" w:type="dxa"/>
          </w:tcPr>
          <w:p w:rsidR="0092289A" w:rsidRPr="005E69AC" w:rsidRDefault="0092289A" w:rsidP="009631AE">
            <w:pPr>
              <w:pStyle w:val="10"/>
              <w:rPr>
                <w:szCs w:val="28"/>
              </w:rPr>
            </w:pPr>
            <w:r w:rsidRPr="005E69AC">
              <w:t>19-3</w:t>
            </w:r>
          </w:p>
        </w:tc>
        <w:tc>
          <w:tcPr>
            <w:tcW w:w="599" w:type="dxa"/>
            <w:gridSpan w:val="2"/>
          </w:tcPr>
          <w:p w:rsidR="0092289A" w:rsidRPr="005E69AC" w:rsidRDefault="0092289A" w:rsidP="009631AE">
            <w:pPr>
              <w:pStyle w:val="10"/>
            </w:pPr>
            <w:r w:rsidRPr="005E69AC">
              <w:t>60</w:t>
            </w:r>
          </w:p>
        </w:tc>
      </w:tr>
      <w:tr w:rsidR="0092289A" w:rsidRPr="005E69AC" w:rsidTr="009631AE">
        <w:trPr>
          <w:trHeight w:val="270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  <w:rPr>
                <w:szCs w:val="28"/>
              </w:rPr>
            </w:pPr>
            <w:r w:rsidRPr="005E69AC">
              <w:t>Перечислен в бюджет НДС:</w:t>
            </w:r>
          </w:p>
        </w:tc>
        <w:tc>
          <w:tcPr>
            <w:tcW w:w="629" w:type="dxa"/>
          </w:tcPr>
          <w:p w:rsidR="0092289A" w:rsidRPr="005E69AC" w:rsidRDefault="0092289A" w:rsidP="009631AE">
            <w:pPr>
              <w:pStyle w:val="10"/>
              <w:rPr>
                <w:szCs w:val="28"/>
              </w:rPr>
            </w:pPr>
            <w:r w:rsidRPr="005E69AC">
              <w:t>68</w:t>
            </w:r>
          </w:p>
        </w:tc>
        <w:tc>
          <w:tcPr>
            <w:tcW w:w="599" w:type="dxa"/>
            <w:gridSpan w:val="2"/>
          </w:tcPr>
          <w:p w:rsidR="0092289A" w:rsidRPr="005E69AC" w:rsidRDefault="0092289A" w:rsidP="009631AE">
            <w:pPr>
              <w:pStyle w:val="10"/>
            </w:pPr>
            <w:r w:rsidRPr="005E69AC">
              <w:t>51</w:t>
            </w:r>
          </w:p>
        </w:tc>
      </w:tr>
      <w:tr w:rsidR="0092289A" w:rsidRPr="005E69AC" w:rsidTr="009631AE">
        <w:trPr>
          <w:trHeight w:val="645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Суммы     НДС,     подлежащие     возмещению     из     бюджета, списываются только после оплаты поставщикам (подрядчикам) за  оприходованные  и  принятые на учет материальные ценности.</w:t>
            </w:r>
          </w:p>
        </w:tc>
        <w:tc>
          <w:tcPr>
            <w:tcW w:w="629" w:type="dxa"/>
          </w:tcPr>
          <w:p w:rsidR="0092289A" w:rsidRPr="005E69AC" w:rsidRDefault="0092289A" w:rsidP="009631AE">
            <w:pPr>
              <w:pStyle w:val="10"/>
            </w:pPr>
            <w:r w:rsidRPr="005E69AC">
              <w:t>68</w:t>
            </w:r>
          </w:p>
        </w:tc>
        <w:tc>
          <w:tcPr>
            <w:tcW w:w="599" w:type="dxa"/>
            <w:gridSpan w:val="2"/>
          </w:tcPr>
          <w:p w:rsidR="0092289A" w:rsidRPr="005E69AC" w:rsidRDefault="0092289A" w:rsidP="009631AE">
            <w:pPr>
              <w:pStyle w:val="10"/>
            </w:pPr>
            <w:r w:rsidRPr="005E69AC">
              <w:t>19-3</w:t>
            </w:r>
          </w:p>
        </w:tc>
      </w:tr>
      <w:tr w:rsidR="0092289A" w:rsidRPr="005E69AC" w:rsidTr="009631AE">
        <w:trPr>
          <w:gridAfter w:val="1"/>
          <w:wAfter w:w="13" w:type="dxa"/>
          <w:trHeight w:val="555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Отражена сумма налога с продаж</w:t>
            </w:r>
          </w:p>
        </w:tc>
        <w:tc>
          <w:tcPr>
            <w:tcW w:w="630" w:type="dxa"/>
          </w:tcPr>
          <w:p w:rsidR="0092289A" w:rsidRPr="005E69AC" w:rsidRDefault="0092289A" w:rsidP="009631AE">
            <w:pPr>
              <w:pStyle w:val="10"/>
            </w:pPr>
            <w:r w:rsidRPr="005E69AC">
              <w:t>62</w:t>
            </w:r>
          </w:p>
        </w:tc>
        <w:tc>
          <w:tcPr>
            <w:tcW w:w="585" w:type="dxa"/>
          </w:tcPr>
          <w:p w:rsidR="0092289A" w:rsidRPr="005E69AC" w:rsidRDefault="0092289A" w:rsidP="009631AE">
            <w:pPr>
              <w:pStyle w:val="10"/>
            </w:pPr>
            <w:r w:rsidRPr="005E69AC">
              <w:t>90</w:t>
            </w:r>
          </w:p>
        </w:tc>
      </w:tr>
      <w:tr w:rsidR="0092289A" w:rsidRPr="005E69AC" w:rsidTr="009631AE">
        <w:trPr>
          <w:gridAfter w:val="1"/>
          <w:wAfter w:w="13" w:type="dxa"/>
          <w:trHeight w:val="497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Перечислен налог с продаж в бюджет по итогам отчетного периода</w:t>
            </w:r>
          </w:p>
        </w:tc>
        <w:tc>
          <w:tcPr>
            <w:tcW w:w="630" w:type="dxa"/>
          </w:tcPr>
          <w:p w:rsidR="0092289A" w:rsidRPr="005E69AC" w:rsidRDefault="0092289A" w:rsidP="009631AE">
            <w:pPr>
              <w:pStyle w:val="10"/>
            </w:pPr>
            <w:r w:rsidRPr="005E69AC">
              <w:t>68</w:t>
            </w:r>
          </w:p>
        </w:tc>
        <w:tc>
          <w:tcPr>
            <w:tcW w:w="585" w:type="dxa"/>
          </w:tcPr>
          <w:p w:rsidR="0092289A" w:rsidRPr="005E69AC" w:rsidRDefault="0092289A" w:rsidP="009631AE">
            <w:pPr>
              <w:pStyle w:val="10"/>
            </w:pPr>
            <w:r w:rsidRPr="005E69AC">
              <w:t>51</w:t>
            </w:r>
          </w:p>
        </w:tc>
      </w:tr>
      <w:tr w:rsidR="0092289A" w:rsidRPr="005E69AC" w:rsidTr="009631AE">
        <w:trPr>
          <w:gridAfter w:val="1"/>
          <w:wAfter w:w="13" w:type="dxa"/>
          <w:trHeight w:val="645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  <w:rPr>
                <w:szCs w:val="28"/>
              </w:rPr>
            </w:pPr>
            <w:r w:rsidRPr="005E69AC">
              <w:t>Отражена сумма акцизов, перечисленных в бюджет</w:t>
            </w:r>
          </w:p>
        </w:tc>
        <w:tc>
          <w:tcPr>
            <w:tcW w:w="630" w:type="dxa"/>
          </w:tcPr>
          <w:p w:rsidR="0092289A" w:rsidRPr="005E69AC" w:rsidRDefault="0092289A" w:rsidP="009631AE">
            <w:pPr>
              <w:pStyle w:val="10"/>
            </w:pPr>
            <w:r w:rsidRPr="005E69AC">
              <w:t>68</w:t>
            </w:r>
          </w:p>
        </w:tc>
        <w:tc>
          <w:tcPr>
            <w:tcW w:w="585" w:type="dxa"/>
          </w:tcPr>
          <w:p w:rsidR="0092289A" w:rsidRPr="005E69AC" w:rsidRDefault="0092289A" w:rsidP="009631AE">
            <w:pPr>
              <w:pStyle w:val="10"/>
            </w:pPr>
            <w:r w:rsidRPr="005E69AC">
              <w:t>51</w:t>
            </w:r>
          </w:p>
        </w:tc>
      </w:tr>
      <w:tr w:rsidR="0092289A" w:rsidRPr="005E69AC" w:rsidTr="009631AE">
        <w:trPr>
          <w:gridAfter w:val="1"/>
          <w:wAfter w:w="13" w:type="dxa"/>
          <w:trHeight w:val="510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Перечислена сумма налога на имущество в бюджет</w:t>
            </w:r>
          </w:p>
        </w:tc>
        <w:tc>
          <w:tcPr>
            <w:tcW w:w="630" w:type="dxa"/>
          </w:tcPr>
          <w:p w:rsidR="0092289A" w:rsidRPr="005E69AC" w:rsidRDefault="0092289A" w:rsidP="009631AE">
            <w:pPr>
              <w:pStyle w:val="10"/>
            </w:pPr>
            <w:r w:rsidRPr="005E69AC">
              <w:t>68</w:t>
            </w:r>
          </w:p>
        </w:tc>
        <w:tc>
          <w:tcPr>
            <w:tcW w:w="585" w:type="dxa"/>
          </w:tcPr>
          <w:p w:rsidR="0092289A" w:rsidRPr="005E69AC" w:rsidRDefault="0092289A" w:rsidP="009631AE">
            <w:pPr>
              <w:pStyle w:val="10"/>
            </w:pPr>
            <w:r w:rsidRPr="005E69AC">
              <w:t>51</w:t>
            </w:r>
          </w:p>
        </w:tc>
      </w:tr>
      <w:tr w:rsidR="0092289A" w:rsidRPr="005E69AC" w:rsidTr="009631AE">
        <w:trPr>
          <w:gridAfter w:val="1"/>
          <w:wAfter w:w="13" w:type="dxa"/>
          <w:trHeight w:val="495"/>
        </w:trPr>
        <w:tc>
          <w:tcPr>
            <w:tcW w:w="484" w:type="dxa"/>
          </w:tcPr>
          <w:p w:rsidR="0092289A" w:rsidRPr="005E69AC" w:rsidRDefault="0092289A" w:rsidP="009631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9A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83" w:type="dxa"/>
          </w:tcPr>
          <w:p w:rsidR="0092289A" w:rsidRPr="005E69AC" w:rsidRDefault="0092289A" w:rsidP="009631AE">
            <w:pPr>
              <w:pStyle w:val="10"/>
            </w:pPr>
            <w:r w:rsidRPr="005E69AC">
              <w:t>Сумма налога на имущество отражается</w:t>
            </w:r>
          </w:p>
        </w:tc>
        <w:tc>
          <w:tcPr>
            <w:tcW w:w="630" w:type="dxa"/>
          </w:tcPr>
          <w:p w:rsidR="0092289A" w:rsidRPr="005E69AC" w:rsidRDefault="0092289A" w:rsidP="009631AE">
            <w:pPr>
              <w:pStyle w:val="10"/>
            </w:pPr>
            <w:r w:rsidRPr="005E69AC">
              <w:t>91</w:t>
            </w:r>
          </w:p>
        </w:tc>
        <w:tc>
          <w:tcPr>
            <w:tcW w:w="585" w:type="dxa"/>
          </w:tcPr>
          <w:p w:rsidR="0092289A" w:rsidRPr="005E69AC" w:rsidRDefault="0092289A" w:rsidP="009631AE">
            <w:pPr>
              <w:pStyle w:val="10"/>
            </w:pPr>
            <w:r w:rsidRPr="005E69AC">
              <w:t>68</w:t>
            </w:r>
          </w:p>
        </w:tc>
      </w:tr>
    </w:tbl>
    <w:p w:rsidR="0092289A" w:rsidRDefault="0092289A" w:rsidP="008A1FCD">
      <w:pPr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A050C">
      <w:pPr>
        <w:jc w:val="center"/>
        <w:rPr>
          <w:rFonts w:ascii="Times New Roman" w:hAnsi="Times New Roman"/>
          <w:i/>
          <w:sz w:val="28"/>
          <w:szCs w:val="28"/>
        </w:rPr>
      </w:pPr>
      <w:r w:rsidRPr="00AA050C">
        <w:rPr>
          <w:rFonts w:ascii="Times New Roman" w:hAnsi="Times New Roman"/>
          <w:i/>
          <w:sz w:val="28"/>
          <w:szCs w:val="28"/>
        </w:rPr>
        <w:t>Пример расчета налога на добавленную стоимость.</w:t>
      </w:r>
    </w:p>
    <w:p w:rsidR="0092289A" w:rsidRDefault="0092289A" w:rsidP="00AA05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производства продукции получила от поставщиков в соответствии с заключенным договором материалы на сумму 118000 руб., в том числе НДС – 18000 руб. Задолженность перед поставщиком погашена в сумме 118000 руб. В этот же период была произведена отгрузка готовой продукции покупателям на сумму 295000 руб., в том числе сумма НДС составила 45000 руб.</w:t>
      </w:r>
    </w:p>
    <w:p w:rsidR="0092289A" w:rsidRDefault="0092289A" w:rsidP="00AA05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документов, представленных в бухгалтерию, будут произведены следующие записи на счетах:</w:t>
      </w:r>
    </w:p>
    <w:p w:rsidR="0092289A" w:rsidRDefault="0092289A" w:rsidP="00AA050C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10 «Материалы» - К – т сч. 60 «Расчеты с поставщиками и подрядчиками» - на сумму 100000 руб. – стоимость материалов по договору и</w:t>
      </w:r>
    </w:p>
    <w:p w:rsidR="0092289A" w:rsidRDefault="0092289A" w:rsidP="00AA050C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19 – 3 «НДС по приобретенным материально – производственным запасам» - К – т сч. 60 «Расчеты с поставщиками и подрядчиками» - на сумму 18000 руб., - НДС по приобретенным материалам.;</w:t>
      </w:r>
    </w:p>
    <w:p w:rsidR="0092289A" w:rsidRDefault="0092289A" w:rsidP="00CF22FD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60 «Расчеты с поставщиками и подрядчиками» - К – т сч. 51 «Расчетные счета» - на сумму 118000 руб. – погашение долга перед поставщиком за поступившие и принятые к учету материалы;</w:t>
      </w:r>
    </w:p>
    <w:p w:rsidR="0092289A" w:rsidRDefault="0092289A" w:rsidP="00CF22FD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62 «Расчеты с поставщиками и заказчиками» - К – т сч. 90 – 1 «Выручка» - на сумму 295000 руб. – в соответствии с расчетными документами;</w:t>
      </w:r>
    </w:p>
    <w:p w:rsidR="0092289A" w:rsidRDefault="0092289A" w:rsidP="00CF22FD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90  - 3 «НДС» - К – т сч. 68 субсч. «Расчеты по НДС» - на сумму 45000 руб. – НДС, учтенный в цене проданной продукции;</w:t>
      </w:r>
    </w:p>
    <w:p w:rsidR="0092289A" w:rsidRDefault="0092289A" w:rsidP="00CF22FD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68 субсч. «Расчеты по НДС» - К – т сч.19 – 3 «НДС по приобретению материально – производственных запасов» - на сумму 18000 руб. – произведен вычет НДС, уплаченного поставщикам за приобретенные материалы;</w:t>
      </w:r>
    </w:p>
    <w:p w:rsidR="0092289A" w:rsidRDefault="0092289A" w:rsidP="00CF22FD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– т сч. 68 субсч. «Расчеты по НДС» - К – т сч. 51 «Расчетные счета» - на сумму 27000 руб. (45000-18000) – погашение задолженности перед бюджетом по НДС.</w:t>
      </w: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Pr="00A77D02" w:rsidRDefault="0092289A" w:rsidP="00A77D02">
      <w:pPr>
        <w:pStyle w:val="1"/>
        <w:spacing w:after="0" w:line="360" w:lineRule="auto"/>
        <w:ind w:left="1069"/>
        <w:jc w:val="center"/>
        <w:rPr>
          <w:rFonts w:ascii="Times New Roman" w:hAnsi="Times New Roman"/>
          <w:b/>
          <w:sz w:val="32"/>
          <w:szCs w:val="32"/>
        </w:rPr>
      </w:pPr>
      <w:r w:rsidRPr="00A77D02">
        <w:rPr>
          <w:rFonts w:ascii="Times New Roman" w:hAnsi="Times New Roman"/>
          <w:b/>
          <w:sz w:val="32"/>
          <w:szCs w:val="32"/>
        </w:rPr>
        <w:t>Библиографический список.</w:t>
      </w:r>
    </w:p>
    <w:p w:rsidR="0092289A" w:rsidRPr="00CF22FD" w:rsidRDefault="0092289A" w:rsidP="00A77D02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289A" w:rsidRDefault="0092289A" w:rsidP="006F3F8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Конституция Российской Федерации. Издательство «Феникс».</w:t>
      </w:r>
    </w:p>
    <w:p w:rsidR="0092289A" w:rsidRPr="006F3F87" w:rsidRDefault="0092289A" w:rsidP="006F3F8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Налоговый кодекс Российской Федерации. Издательство «НОРМА - ИНФРА».</w:t>
      </w:r>
    </w:p>
    <w:p w:rsidR="0092289A" w:rsidRDefault="0092289A" w:rsidP="00A77D02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 счетов бухгалтерского учета финансово – хозяйственной деятельности организаций. Инструкция по применению. – Новосибирск: Сиб. унив. изд – во, 2010.</w:t>
      </w:r>
    </w:p>
    <w:p w:rsidR="0092289A" w:rsidRDefault="0092289A" w:rsidP="00A77D02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Положения по бухгалтерскому учету. Федеральный закон «О бухгалтерском учете». Положение о главных бухгалтерах. – Новосибирск: Сиб. унив. изд – во, 2010.</w:t>
      </w:r>
    </w:p>
    <w:p w:rsidR="0092289A" w:rsidRDefault="0092289A" w:rsidP="00A77D02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Бухгалтерский учет: учебник/ Н. К. Муравицкая, Г. И. Лукьяненко. – 2 – е изд., перераб. и доп. – М.: КНОРУС, 2009.</w:t>
      </w:r>
    </w:p>
    <w:p w:rsidR="0092289A" w:rsidRPr="00A77D02" w:rsidRDefault="0092289A" w:rsidP="00A77D0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92289A" w:rsidRPr="00383B59" w:rsidRDefault="0092289A" w:rsidP="001B3A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2289A" w:rsidRPr="00383B59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89A" w:rsidRPr="001B3A00" w:rsidRDefault="0092289A" w:rsidP="001B3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2289A" w:rsidRPr="001B3A00" w:rsidSect="006F3F87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89A" w:rsidRDefault="0092289A" w:rsidP="008A1FCD">
      <w:pPr>
        <w:spacing w:after="0" w:line="240" w:lineRule="auto"/>
      </w:pPr>
      <w:r>
        <w:separator/>
      </w:r>
    </w:p>
  </w:endnote>
  <w:endnote w:type="continuationSeparator" w:id="0">
    <w:p w:rsidR="0092289A" w:rsidRDefault="0092289A" w:rsidP="008A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89A" w:rsidRDefault="0092289A" w:rsidP="008A1FCD">
      <w:pPr>
        <w:spacing w:after="0" w:line="240" w:lineRule="auto"/>
      </w:pPr>
      <w:r>
        <w:separator/>
      </w:r>
    </w:p>
  </w:footnote>
  <w:footnote w:type="continuationSeparator" w:id="0">
    <w:p w:rsidR="0092289A" w:rsidRDefault="0092289A" w:rsidP="008A1FCD">
      <w:pPr>
        <w:spacing w:after="0" w:line="240" w:lineRule="auto"/>
      </w:pPr>
      <w:r>
        <w:continuationSeparator/>
      </w:r>
    </w:p>
  </w:footnote>
  <w:footnote w:id="1">
    <w:p w:rsidR="0092289A" w:rsidRDefault="0092289A">
      <w:pPr>
        <w:pStyle w:val="a3"/>
      </w:pPr>
      <w:r>
        <w:rPr>
          <w:rStyle w:val="a5"/>
        </w:rPr>
        <w:footnoteRef/>
      </w:r>
      <w:r>
        <w:t xml:space="preserve"> </w:t>
      </w:r>
      <w:r w:rsidRPr="00A77D02">
        <w:tab/>
        <w:t>Конституция Российской Федерации. Издательство «Феникс».</w:t>
      </w:r>
    </w:p>
  </w:footnote>
  <w:footnote w:id="2">
    <w:p w:rsidR="0092289A" w:rsidRDefault="0092289A">
      <w:pPr>
        <w:pStyle w:val="a3"/>
      </w:pPr>
      <w:r>
        <w:rPr>
          <w:rStyle w:val="a5"/>
        </w:rPr>
        <w:footnoteRef/>
      </w:r>
      <w:r>
        <w:t xml:space="preserve"> </w:t>
      </w:r>
      <w:r w:rsidRPr="006F3F87">
        <w:t>Налоговый кодекс Российской Федерации. Издательство «НОРМА - ИНФРА».</w:t>
      </w:r>
    </w:p>
  </w:footnote>
  <w:footnote w:id="3">
    <w:p w:rsidR="0092289A" w:rsidRDefault="0092289A">
      <w:pPr>
        <w:pStyle w:val="a3"/>
      </w:pPr>
      <w:r>
        <w:rPr>
          <w:rStyle w:val="a5"/>
        </w:rPr>
        <w:footnoteRef/>
      </w:r>
      <w:r>
        <w:t xml:space="preserve"> </w:t>
      </w:r>
      <w:r w:rsidRPr="006F3F87">
        <w:t>Положения по бухгалтерскому учету. Федеральный закон «О бухгалтерском учете». Положение о главных бухгалтерах. – Новосибирск: Сиб. унив. изд – во, 2010.</w:t>
      </w:r>
    </w:p>
  </w:footnote>
  <w:footnote w:id="4">
    <w:p w:rsidR="0092289A" w:rsidRDefault="0092289A">
      <w:pPr>
        <w:pStyle w:val="a3"/>
      </w:pPr>
      <w:r>
        <w:rPr>
          <w:rStyle w:val="a5"/>
        </w:rPr>
        <w:footnoteRef/>
      </w:r>
      <w:r>
        <w:t xml:space="preserve"> </w:t>
      </w:r>
      <w:r w:rsidRPr="006F3F87">
        <w:t>План счетов бухгалтерского учета финансово – хозяйственной деятельности организаций. Инструкция по применению. – Новосибирск: Сиб. унив. изд – во, 2010.</w:t>
      </w:r>
    </w:p>
  </w:footnote>
  <w:footnote w:id="5">
    <w:p w:rsidR="0092289A" w:rsidRDefault="0092289A">
      <w:pPr>
        <w:pStyle w:val="a3"/>
      </w:pPr>
      <w:r>
        <w:rPr>
          <w:rStyle w:val="a5"/>
        </w:rPr>
        <w:footnoteRef/>
      </w:r>
      <w:r>
        <w:t xml:space="preserve"> </w:t>
      </w:r>
      <w:r w:rsidRPr="006F3F87">
        <w:t>Бухгалтерский учет: учебник/ Н. К. Муравицкая, Г. И. Лукьяненко. – 2 – е изд., перераб. и доп. – М.: КНОРУС, 2009.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89A" w:rsidRDefault="0092289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212A">
      <w:rPr>
        <w:noProof/>
      </w:rPr>
      <w:t>3</w:t>
    </w:r>
    <w:r>
      <w:fldChar w:fldCharType="end"/>
    </w:r>
  </w:p>
  <w:p w:rsidR="0092289A" w:rsidRDefault="009228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3175C"/>
    <w:multiLevelType w:val="hybridMultilevel"/>
    <w:tmpl w:val="682CF29C"/>
    <w:lvl w:ilvl="0" w:tplc="6900AA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74D73FE"/>
    <w:multiLevelType w:val="hybridMultilevel"/>
    <w:tmpl w:val="EDE65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8A3941"/>
    <w:multiLevelType w:val="hybridMultilevel"/>
    <w:tmpl w:val="7294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FA3534"/>
    <w:multiLevelType w:val="hybridMultilevel"/>
    <w:tmpl w:val="A7B69DD6"/>
    <w:lvl w:ilvl="0" w:tplc="E77AE7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A00"/>
    <w:rsid w:val="00007654"/>
    <w:rsid w:val="00045D8B"/>
    <w:rsid w:val="000E24BC"/>
    <w:rsid w:val="000F7703"/>
    <w:rsid w:val="001B3A00"/>
    <w:rsid w:val="00237393"/>
    <w:rsid w:val="003461C2"/>
    <w:rsid w:val="00383B59"/>
    <w:rsid w:val="003863DF"/>
    <w:rsid w:val="003C5333"/>
    <w:rsid w:val="005B70EA"/>
    <w:rsid w:val="005E69AC"/>
    <w:rsid w:val="006F3F87"/>
    <w:rsid w:val="008252FC"/>
    <w:rsid w:val="008A1FCD"/>
    <w:rsid w:val="008A273B"/>
    <w:rsid w:val="0092289A"/>
    <w:rsid w:val="009528D1"/>
    <w:rsid w:val="009631AE"/>
    <w:rsid w:val="00996D34"/>
    <w:rsid w:val="009F212A"/>
    <w:rsid w:val="00A77D02"/>
    <w:rsid w:val="00AA050C"/>
    <w:rsid w:val="00B37BFE"/>
    <w:rsid w:val="00BD47E7"/>
    <w:rsid w:val="00BD5446"/>
    <w:rsid w:val="00CF22FD"/>
    <w:rsid w:val="00DD6D45"/>
    <w:rsid w:val="00E75BF1"/>
    <w:rsid w:val="00F364B6"/>
    <w:rsid w:val="00F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A4099-68B2-4D98-BAEB-FFFAD075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A0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64B6"/>
    <w:pPr>
      <w:ind w:left="720"/>
      <w:contextualSpacing/>
    </w:pPr>
  </w:style>
  <w:style w:type="paragraph" w:customStyle="1" w:styleId="10">
    <w:name w:val="Без интервала1"/>
    <w:rsid w:val="008A1FCD"/>
    <w:rPr>
      <w:rFonts w:eastAsia="Times New Roman"/>
      <w:sz w:val="22"/>
      <w:szCs w:val="22"/>
      <w:lang w:eastAsia="en-US"/>
    </w:rPr>
  </w:style>
  <w:style w:type="paragraph" w:styleId="a3">
    <w:name w:val="footnote text"/>
    <w:basedOn w:val="a"/>
    <w:link w:val="a4"/>
    <w:semiHidden/>
    <w:rsid w:val="008A1FC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locked/>
    <w:rsid w:val="008A1FCD"/>
    <w:rPr>
      <w:rFonts w:cs="Times New Roman"/>
      <w:sz w:val="20"/>
      <w:szCs w:val="20"/>
    </w:rPr>
  </w:style>
  <w:style w:type="character" w:styleId="a5">
    <w:name w:val="footnote reference"/>
    <w:basedOn w:val="a0"/>
    <w:semiHidden/>
    <w:rsid w:val="008A1FCD"/>
    <w:rPr>
      <w:rFonts w:cs="Times New Roman"/>
      <w:vertAlign w:val="superscript"/>
    </w:rPr>
  </w:style>
  <w:style w:type="paragraph" w:styleId="a6">
    <w:name w:val="header"/>
    <w:basedOn w:val="a"/>
    <w:link w:val="a7"/>
    <w:rsid w:val="006F3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6F3F87"/>
    <w:rPr>
      <w:rFonts w:cs="Times New Roman"/>
    </w:rPr>
  </w:style>
  <w:style w:type="paragraph" w:styleId="a8">
    <w:name w:val="footer"/>
    <w:basedOn w:val="a"/>
    <w:link w:val="a9"/>
    <w:semiHidden/>
    <w:rsid w:val="006F3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locked/>
    <w:rsid w:val="006F3F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Нормативные документы, регулирующие расчеты с бюджетом по налогам и сборам</vt:lpstr>
    </vt:vector>
  </TitlesOfParts>
  <Company>Microsoft</Company>
  <LinksUpToDate>false</LinksUpToDate>
  <CharactersWithSpaces>14937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Нормативные документы, регулирующие расчеты с бюджетом по налогам и сборам</dc:title>
  <dc:subject/>
  <dc:creator>Admin</dc:creator>
  <cp:keywords/>
  <dc:description/>
  <cp:lastModifiedBy>admin</cp:lastModifiedBy>
  <cp:revision>2</cp:revision>
  <dcterms:created xsi:type="dcterms:W3CDTF">2014-06-01T13:46:00Z</dcterms:created>
  <dcterms:modified xsi:type="dcterms:W3CDTF">2014-06-01T13:46:00Z</dcterms:modified>
</cp:coreProperties>
</file>